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outlineLvl w:val="0"/>
        <w:rPr>
          <w:rFonts w:hint="eastAsia" w:ascii="黑体" w:hAnsi="黑体" w:eastAsia="黑体" w:cs="黑体"/>
          <w:color w:val="000000" w:themeColor="text1"/>
          <w:sz w:val="44"/>
          <w:szCs w:val="44"/>
          <w:lang w:val="en-US" w:eastAsia="zh-CN"/>
          <w14:textFill>
            <w14:solidFill>
              <w14:schemeClr w14:val="tx1"/>
            </w14:solidFill>
          </w14:textFill>
        </w:rPr>
      </w:pPr>
      <w:bookmarkStart w:id="0" w:name="_Toc26252"/>
      <w:r>
        <w:rPr>
          <w:rFonts w:hint="eastAsia" w:ascii="黑体" w:hAnsi="黑体" w:eastAsia="黑体" w:cs="黑体"/>
          <w:i w:val="0"/>
          <w:iCs w:val="0"/>
          <w:color w:val="000000" w:themeColor="text1"/>
          <w:kern w:val="0"/>
          <w:sz w:val="44"/>
          <w:szCs w:val="44"/>
          <w:u w:val="none"/>
          <w:lang w:val="en-US" w:eastAsia="zh-CN" w:bidi="ar"/>
          <w14:textFill>
            <w14:solidFill>
              <w14:schemeClr w14:val="tx1"/>
            </w14:solidFill>
          </w14:textFill>
        </w:rPr>
        <w:t>高技术领域科技计划成果</w:t>
      </w:r>
      <w:bookmarkEnd w:id="0"/>
    </w:p>
    <w:p>
      <w:pPr>
        <w:jc w:val="both"/>
        <w:outlineLvl w:val="1"/>
        <w:rPr>
          <w:rFonts w:hint="eastAsia" w:ascii="楷体" w:hAnsi="楷体" w:eastAsia="楷体" w:cs="楷体"/>
          <w:b/>
          <w:bCs/>
          <w:i w:val="0"/>
          <w:iCs w:val="0"/>
          <w:color w:val="000000" w:themeColor="text1"/>
          <w:kern w:val="0"/>
          <w:sz w:val="32"/>
          <w:szCs w:val="32"/>
          <w:u w:val="none"/>
          <w:lang w:val="en-US" w:eastAsia="zh-CN" w:bidi="ar"/>
          <w14:textFill>
            <w14:solidFill>
              <w14:schemeClr w14:val="tx1"/>
            </w14:solidFill>
          </w14:textFill>
        </w:rPr>
      </w:pPr>
      <w:bookmarkStart w:id="1" w:name="_Toc18948"/>
    </w:p>
    <w:p>
      <w:pPr>
        <w:jc w:val="both"/>
        <w:outlineLvl w:val="1"/>
        <w:rPr>
          <w:rFonts w:hint="eastAsia" w:ascii="楷体" w:hAnsi="楷体" w:eastAsia="楷体" w:cs="楷体"/>
          <w:b/>
          <w:bCs/>
          <w:i w:val="0"/>
          <w:iCs w:val="0"/>
          <w:color w:val="000000" w:themeColor="text1"/>
          <w:kern w:val="0"/>
          <w:sz w:val="32"/>
          <w:szCs w:val="32"/>
          <w:u w:val="none"/>
          <w:lang w:val="en-US" w:eastAsia="zh-CN" w:bidi="ar"/>
          <w14:textFill>
            <w14:solidFill>
              <w14:schemeClr w14:val="tx1"/>
            </w14:solidFill>
          </w14:textFill>
        </w:rPr>
      </w:pPr>
      <w:r>
        <w:rPr>
          <w:rFonts w:hint="eastAsia" w:ascii="楷体" w:hAnsi="楷体" w:eastAsia="楷体" w:cs="楷体"/>
          <w:b/>
          <w:bCs/>
          <w:i w:val="0"/>
          <w:iCs w:val="0"/>
          <w:color w:val="000000" w:themeColor="text1"/>
          <w:kern w:val="0"/>
          <w:sz w:val="32"/>
          <w:szCs w:val="32"/>
          <w:u w:val="none"/>
          <w:lang w:val="en-US" w:eastAsia="zh-CN" w:bidi="ar"/>
          <w14:textFill>
            <w14:solidFill>
              <w14:schemeClr w14:val="tx1"/>
            </w14:solidFill>
          </w14:textFill>
        </w:rPr>
        <w:t>1.信息领域专项</w:t>
      </w:r>
      <w:bookmarkEnd w:id="1"/>
    </w:p>
    <w:tbl>
      <w:tblPr>
        <w:tblStyle w:val="5"/>
        <w:tblW w:w="85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58"/>
        <w:gridCol w:w="1300"/>
        <w:gridCol w:w="2016"/>
        <w:gridCol w:w="1752"/>
        <w:gridCol w:w="2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trPr>
        <w:tc>
          <w:tcPr>
            <w:tcW w:w="658" w:type="dxa"/>
            <w:tcBorders>
              <w:tl2br w:val="nil"/>
              <w:tr2bl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成果名称</w:t>
            </w:r>
          </w:p>
        </w:tc>
        <w:tc>
          <w:tcPr>
            <w:tcW w:w="20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完成单位</w:t>
            </w:r>
          </w:p>
        </w:tc>
        <w:tc>
          <w:tcPr>
            <w:tcW w:w="175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联系方式</w:t>
            </w:r>
          </w:p>
        </w:tc>
        <w:tc>
          <w:tcPr>
            <w:tcW w:w="278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主要内容（不超过50字）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58" w:type="dxa"/>
            <w:tcBorders>
              <w:tl2br w:val="nil"/>
              <w:tr2bl w:val="nil"/>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30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高性能计算机发展历程一览</w:t>
            </w:r>
          </w:p>
        </w:tc>
        <w:tc>
          <w:tcPr>
            <w:tcW w:w="201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中国人民解放军国防科技大学</w:t>
            </w:r>
          </w:p>
        </w:tc>
        <w:tc>
          <w:tcPr>
            <w:tcW w:w="175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黄峰</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18692268889</w:t>
            </w:r>
          </w:p>
        </w:tc>
        <w:tc>
          <w:tcPr>
            <w:tcW w:w="2784" w:type="dxa"/>
            <w:tcBorders>
              <w:tl2br w:val="nil"/>
              <w:tr2bl w:val="nil"/>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系统回顾我国超级计算机的研制、创新、应用所经历的从无到有、从跟跑到领先的40余年历程，以时间树的形式标注重大时间节点和事件；重点展示“十三五”以来在计算机系统研制、国际排名</w:t>
            </w:r>
            <w:r>
              <w:rPr>
                <w:rFonts w:hint="eastAsia" w:hAnsi="宋体" w:cs="仿宋_GB2312"/>
                <w:i w:val="0"/>
                <w:iCs w:val="0"/>
                <w:color w:val="000000"/>
                <w:kern w:val="0"/>
                <w:sz w:val="22"/>
                <w:szCs w:val="22"/>
                <w:u w:val="none"/>
                <w:lang w:val="en-US" w:eastAsia="zh-CN" w:bidi="ar"/>
              </w:rPr>
              <w:t>等</w:t>
            </w:r>
            <w:r>
              <w:rPr>
                <w:rFonts w:hint="eastAsia" w:ascii="仿宋_GB2312" w:hAnsi="宋体" w:eastAsia="仿宋_GB2312" w:cs="仿宋_GB2312"/>
                <w:i w:val="0"/>
                <w:iCs w:val="0"/>
                <w:color w:val="000000"/>
                <w:kern w:val="0"/>
                <w:sz w:val="22"/>
                <w:szCs w:val="22"/>
                <w:u w:val="none"/>
                <w:lang w:val="en-US" w:eastAsia="zh-CN" w:bidi="ar"/>
              </w:rPr>
              <w:t>方面取得的成就</w:t>
            </w:r>
            <w:r>
              <w:rPr>
                <w:rFonts w:hint="eastAsia" w:hAnsi="宋体" w:cs="仿宋_GB2312"/>
                <w:i w:val="0"/>
                <w:iCs w:val="0"/>
                <w:color w:val="000000"/>
                <w:kern w:val="0"/>
                <w:sz w:val="22"/>
                <w:szCs w:val="22"/>
                <w:u w:val="none"/>
                <w:lang w:val="en-US" w:eastAsia="zh-CN" w:bidi="ar"/>
              </w:rPr>
              <w:t>。</w:t>
            </w:r>
            <w:bookmarkStart w:id="8" w:name="_GoBack"/>
            <w:bookmarkEnd w:id="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40" w:hRule="atLeast"/>
        </w:trPr>
        <w:tc>
          <w:tcPr>
            <w:tcW w:w="65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30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高性能计算应用加速科学研究和经济社会发展</w:t>
            </w:r>
          </w:p>
        </w:tc>
        <w:tc>
          <w:tcPr>
            <w:tcW w:w="201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中国原子能科学研究院</w:t>
            </w:r>
          </w:p>
        </w:tc>
        <w:tc>
          <w:tcPr>
            <w:tcW w:w="175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米亚静</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13699123062</w:t>
            </w:r>
          </w:p>
        </w:tc>
        <w:tc>
          <w:tcPr>
            <w:tcW w:w="2784" w:type="dxa"/>
            <w:tcBorders>
              <w:tl2br w:val="nil"/>
              <w:tr2bl w:val="nil"/>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数值核反应堆CVR1.0—总体，高性能计算虚拟数据空间软件系统等相关应用软件（可增加超算技术在核工业、生物信息、天气预报等方面的重要应用）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28" w:hRule="atLeast"/>
        </w:trPr>
        <w:tc>
          <w:tcPr>
            <w:tcW w:w="65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30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云计算与大数据实现原创理论技术突破</w:t>
            </w:r>
          </w:p>
        </w:tc>
        <w:tc>
          <w:tcPr>
            <w:tcW w:w="201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中国科学院计算技术研究所</w:t>
            </w:r>
          </w:p>
        </w:tc>
        <w:tc>
          <w:tcPr>
            <w:tcW w:w="175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姜进磊</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13651248636</w:t>
            </w:r>
          </w:p>
        </w:tc>
        <w:tc>
          <w:tcPr>
            <w:tcW w:w="2784" w:type="dxa"/>
            <w:tcBorders>
              <w:tl2br w:val="nil"/>
              <w:tr2bl w:val="nil"/>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自主云操作系统应用生态体系，低熵云计算理论框架及系统，“清华数为”工业物联网数据库系统，面向图计算的通用计算机，木兰开源社区，基于数字视网膜的视频大数据处理技术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52" w:hRule="atLeast"/>
        </w:trPr>
        <w:tc>
          <w:tcPr>
            <w:tcW w:w="65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130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人机交互技术走向世界前列</w:t>
            </w:r>
          </w:p>
        </w:tc>
        <w:tc>
          <w:tcPr>
            <w:tcW w:w="201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清华大学</w:t>
            </w:r>
          </w:p>
        </w:tc>
        <w:tc>
          <w:tcPr>
            <w:tcW w:w="175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陶品</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13717813059</w:t>
            </w:r>
          </w:p>
        </w:tc>
        <w:tc>
          <w:tcPr>
            <w:tcW w:w="2784" w:type="dxa"/>
            <w:tcBorders>
              <w:tl2br w:val="nil"/>
              <w:tr2bl w:val="nil"/>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人机交互自然性的计算原理，支持大空间非接触三维书空模式的多通道笔式交互装置，多模态神经系统疾病智能辅助诊断系统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04" w:hRule="atLeast"/>
        </w:trPr>
        <w:tc>
          <w:tcPr>
            <w:tcW w:w="65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30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宽带通信与新型网络技术跻身世界第一梯队</w:t>
            </w:r>
          </w:p>
        </w:tc>
        <w:tc>
          <w:tcPr>
            <w:tcW w:w="201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中国航空技术国际控股有限公司</w:t>
            </w:r>
          </w:p>
        </w:tc>
        <w:tc>
          <w:tcPr>
            <w:tcW w:w="175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白凡</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18810610638</w:t>
            </w:r>
          </w:p>
        </w:tc>
        <w:tc>
          <w:tcPr>
            <w:tcW w:w="2784" w:type="dxa"/>
            <w:tcBorders>
              <w:tl2br w:val="nil"/>
              <w:tr2bl w:val="nil"/>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主原创性的高集成Ka宽带卫星通信终端及芯片，自主研发的超长跨距T比特级光传输系统，5G基带处理器CPU内核芯片，自主可控高性能路由器，基于全维可定义的网络5.0新型网络架构，宽带通信和新型网络应用示范，业务网络理论、关键技术及产业化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16" w:hRule="atLeast"/>
        </w:trPr>
        <w:tc>
          <w:tcPr>
            <w:tcW w:w="65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130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自主高端光通信器件服务千家万户</w:t>
            </w:r>
          </w:p>
        </w:tc>
        <w:tc>
          <w:tcPr>
            <w:tcW w:w="201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武汉光迅科技股份有限公司</w:t>
            </w:r>
          </w:p>
        </w:tc>
        <w:tc>
          <w:tcPr>
            <w:tcW w:w="175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李欣国</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18086618766</w:t>
            </w:r>
          </w:p>
        </w:tc>
        <w:tc>
          <w:tcPr>
            <w:tcW w:w="2784" w:type="dxa"/>
            <w:tcBorders>
              <w:tl2br w:val="nil"/>
              <w:tr2bl w:val="nil"/>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向5G应用的光芯片与光模块，光子模拟信号处理芯片，面向5G应用的宽温高速分布反馈半导体激光器芯片，光通信用窄线宽半导体激光器，用于高速光通信的1-25Gb/s跨阻放大器集成电路芯片，高速大容量智能多维复用与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6" w:hRule="atLeast"/>
        </w:trPr>
        <w:tc>
          <w:tcPr>
            <w:tcW w:w="65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130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人工智能基础软硬件加速发展</w:t>
            </w:r>
          </w:p>
        </w:tc>
        <w:tc>
          <w:tcPr>
            <w:tcW w:w="201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北京灵汐科技有限公司</w:t>
            </w:r>
          </w:p>
        </w:tc>
        <w:tc>
          <w:tcPr>
            <w:tcW w:w="175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张维伦</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18683714928</w:t>
            </w:r>
          </w:p>
        </w:tc>
        <w:tc>
          <w:tcPr>
            <w:tcW w:w="2784" w:type="dxa"/>
            <w:tcBorders>
              <w:tl2br w:val="nil"/>
              <w:tr2bl w:val="nil"/>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面向人工通用智能的类脑计算，人工智能芯片 DeepEye1000 开发评估板，多感知仿人灵巧手，基于飞桨的全国产AI计算平台，人工智能气味识别检测系统，跨模态医疗分析推理技术与系统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0" w:hRule="atLeast"/>
        </w:trPr>
        <w:tc>
          <w:tcPr>
            <w:tcW w:w="65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130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人工智能技术与行业场景深度融合—国家新一代人工智能开放创新平台</w:t>
            </w:r>
          </w:p>
        </w:tc>
        <w:tc>
          <w:tcPr>
            <w:tcW w:w="201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腾讯医疗健康（深圳）有限公司</w:t>
            </w:r>
          </w:p>
        </w:tc>
        <w:tc>
          <w:tcPr>
            <w:tcW w:w="175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史琳</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13426409486</w:t>
            </w:r>
          </w:p>
        </w:tc>
        <w:tc>
          <w:tcPr>
            <w:tcW w:w="2784" w:type="dxa"/>
            <w:tcBorders>
              <w:tl2br w:val="nil"/>
              <w:tr2bl w:val="nil"/>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医疗影像国家新一代人工智能开放创新平台，基于CT影像的新冠肺炎AI辅助诊断；智能语音国家新一代人工智能开放创新平台，以中文为核心的多语种自动翻译技术；自动驾驶国家新一代人工智能开放创新平台，智能交通、智能汽车、自动驾驶；智慧教育国家新一代人工智能开放创新平台，在线教育智能互动直播授课系统。</w:t>
            </w:r>
          </w:p>
        </w:tc>
      </w:tr>
    </w:tbl>
    <w:p>
      <w:pPr>
        <w:pStyle w:val="3"/>
        <w:ind w:left="0" w:leftChars="0" w:firstLine="0" w:firstLineChars="0"/>
      </w:pPr>
    </w:p>
    <w:p>
      <w:pPr>
        <w:jc w:val="both"/>
        <w:outlineLvl w:val="1"/>
        <w:rPr>
          <w:rFonts w:hint="eastAsia" w:ascii="楷体" w:hAnsi="楷体" w:eastAsia="楷体" w:cs="楷体"/>
          <w:b/>
          <w:bCs/>
          <w:i w:val="0"/>
          <w:iCs w:val="0"/>
          <w:color w:val="000000" w:themeColor="text1"/>
          <w:kern w:val="0"/>
          <w:sz w:val="32"/>
          <w:szCs w:val="32"/>
          <w:u w:val="none"/>
          <w:lang w:val="en-US" w:eastAsia="zh-CN" w:bidi="ar"/>
          <w14:textFill>
            <w14:solidFill>
              <w14:schemeClr w14:val="tx1"/>
            </w14:solidFill>
          </w14:textFill>
        </w:rPr>
      </w:pPr>
      <w:bookmarkStart w:id="2" w:name="_Toc15158"/>
      <w:r>
        <w:rPr>
          <w:rFonts w:hint="eastAsia" w:ascii="楷体" w:hAnsi="楷体" w:eastAsia="楷体" w:cs="楷体"/>
          <w:b/>
          <w:bCs/>
          <w:i w:val="0"/>
          <w:iCs w:val="0"/>
          <w:color w:val="000000" w:themeColor="text1"/>
          <w:kern w:val="0"/>
          <w:sz w:val="32"/>
          <w:szCs w:val="32"/>
          <w:u w:val="none"/>
          <w:lang w:val="en-US" w:eastAsia="zh-CN" w:bidi="ar"/>
          <w14:textFill>
            <w14:solidFill>
              <w14:schemeClr w14:val="tx1"/>
            </w14:solidFill>
          </w14:textFill>
        </w:rPr>
        <w:t>2.材料领域专项</w:t>
      </w:r>
      <w:bookmarkEnd w:id="2"/>
    </w:p>
    <w:tbl>
      <w:tblPr>
        <w:tblStyle w:val="5"/>
        <w:tblW w:w="85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288"/>
        <w:gridCol w:w="2028"/>
        <w:gridCol w:w="1752"/>
        <w:gridCol w:w="2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成果名称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完成单位</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联系方式</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中国首片8.5代TFT-LCD玻璃基板</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中建材蚌埠玻璃工业设计研究院有限公司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曹志强13855283762</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本项目攻克了高温熔化澄清、大尺寸精密超薄成形等核心技术，建成了中国首条8.5代液晶玻璃基板生产线，实现了我国高世代液晶玻璃基板“零”的突破。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特高压变压器 清洁发电及新能源汽车用高端硅钢</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宝山钢铁股份有限公司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王波</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13917630870</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突破了极低铁损取向硅钢、高端无取向硅钢核心技术，实现七项产品世界首发，领先国际1至2个牌号；示范应用于世界首条±1100kV昌吉-古泉直流工程、世界最大单机容量白鹤滩电站和有效比功率4.9kW/kg的新能源车驱动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超高分子量聚乙烯制品短流程高效制造技术</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华南理工大学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冯彦洪18924251833</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过国际首创偏心转子拉伸流变塑化输运技术，成功实现超高分子量聚乙烯（UHMWPE）高效塑化输运、高速稳定挤出。新技术热机械历程缩短70%；加工速度可达40m/h，是传统方法的十倍以上。已实现300-900万分子量UHMWPE制品的高效制造，突破产品在石油化工、矿山、疏浚及海洋工程等领域大规模推广应用的技术壁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超高清超高分辨率大尺寸 LED显示器</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长春希达电子技术有限公司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李倩影</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13614404892</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行业内率先并全球首发超高密度小间距倒装COB LED系列产品并量产；突破发光芯片、驱动器件、集成封装、均匀性控制、整机集成全套技术及工艺，核心原材料、元器件量产及产业化应用，建立基于倒装COB集成封装配套产业链，全部国产、自主可控；研制出首台最小像素间距0.47mm倒装集成封装超高清LED显示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碳化硅功率器件及其充电桩</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北京市华商三优新能源科技有限公司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李爱平</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13520324207</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将国产6英寸N型4H-SiC单晶衬底微管密度降低到1个/cm2，基本实现开盒即用；基于国产SiC外延材料，开发出了SiC芯片产品，其中1200V/80mΩ的SiC MOSFET和1200V/40A的SiC二极管芯片已经量产；针对SiC新型充电桩的应用需求，开发了全SiC整流桥模块和双BOOST电路模块。</w:t>
            </w:r>
          </w:p>
        </w:tc>
      </w:tr>
    </w:tbl>
    <w:p>
      <w:pPr>
        <w:jc w:val="both"/>
        <w:outlineLvl w:val="1"/>
        <w:rPr>
          <w:rFonts w:hint="eastAsia" w:ascii="楷体" w:hAnsi="楷体" w:eastAsia="楷体" w:cs="楷体"/>
          <w:b/>
          <w:bCs/>
          <w:i w:val="0"/>
          <w:iCs w:val="0"/>
          <w:color w:val="000000" w:themeColor="text1"/>
          <w:kern w:val="0"/>
          <w:sz w:val="32"/>
          <w:szCs w:val="32"/>
          <w:u w:val="none"/>
          <w:lang w:val="en-US" w:eastAsia="zh-CN" w:bidi="ar"/>
          <w14:textFill>
            <w14:solidFill>
              <w14:schemeClr w14:val="tx1"/>
            </w14:solidFill>
          </w14:textFill>
        </w:rPr>
      </w:pPr>
      <w:bookmarkStart w:id="3" w:name="_Toc29253"/>
      <w:r>
        <w:rPr>
          <w:rFonts w:hint="eastAsia" w:ascii="楷体" w:hAnsi="楷体" w:eastAsia="楷体" w:cs="楷体"/>
          <w:b/>
          <w:bCs/>
          <w:i w:val="0"/>
          <w:iCs w:val="0"/>
          <w:color w:val="000000" w:themeColor="text1"/>
          <w:kern w:val="0"/>
          <w:sz w:val="32"/>
          <w:szCs w:val="32"/>
          <w:u w:val="none"/>
          <w:lang w:val="en-US" w:eastAsia="zh-CN" w:bidi="ar"/>
          <w14:textFill>
            <w14:solidFill>
              <w14:schemeClr w14:val="tx1"/>
            </w14:solidFill>
          </w14:textFill>
        </w:rPr>
        <w:t>3.制造领域专项</w:t>
      </w:r>
      <w:bookmarkEnd w:id="3"/>
    </w:p>
    <w:tbl>
      <w:tblPr>
        <w:tblStyle w:val="5"/>
        <w:tblW w:w="85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288"/>
        <w:gridCol w:w="2028"/>
        <w:gridCol w:w="1752"/>
        <w:gridCol w:w="2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成果名称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完成单位</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联系方式</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“京华号”国产最大直径盾构机</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中国铁建重工集团股份有限公司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苏翠侠</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15307310125</w:t>
            </w:r>
          </w:p>
        </w:tc>
        <w:tc>
          <w:tcPr>
            <w:tcW w:w="2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京华号”创新采用了常压换刀技术避免了高压环境作业提高人员安全性，配置了含18台电机、总功率达6300kw动力系统保障遇到孤石、地基等障碍物时顺利掘进，独创的开挖面气液独立平衡控制技术确保地面沉降控制在±1mm以内，研制的1100kw大功率泥水环流系统实现3200m3/h渣浆输送、同步双液注浆实现水泥浆1小时内快速凝结（100kN/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洁净环境大型玻璃基板搬运机器人系统</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合肥欣奕华智能机器有限公司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刘强</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18514783641</w:t>
            </w:r>
          </w:p>
        </w:tc>
        <w:tc>
          <w:tcPr>
            <w:tcW w:w="2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围绕该产品的关键技术、全系列产品设计、制造工艺及应用进行研究，形成70余项自主知识产权，成功研制可搬运基板尺寸最大可达2940mm×3370mm的基板搬运机器人，达到世界先进水平，并批量应用于显示面板生产线的曝光、涂胶等所有典型工位，应用数量150台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遨博协作机器人应用案例</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遨博（北京）智能科技有限公司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田华</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18511226188</w:t>
            </w:r>
          </w:p>
        </w:tc>
        <w:tc>
          <w:tcPr>
            <w:tcW w:w="2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UBO超V热动力机器人项目采用遨博协作机器人结合亲肤末端按摩仪，通过3D结构光视觉扫描自动对按摩区域进行三维感知，感知精度误差&lt;3mm。通过远红外诊疗、靶向热疗等结果自动调节诊疗能量输出，利用大数据计算呼吸频率、体温等信息为不同人群建立专属数据库，从科学、专业、标准化的角度提供智能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1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生机电一体化假肢与外骨骼康复机器人</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上海交通大学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盛鑫军</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13585988674</w:t>
            </w:r>
          </w:p>
        </w:tc>
        <w:tc>
          <w:tcPr>
            <w:tcW w:w="2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项目研发了基于模式识别的灵巧假肢手系统、下肢智能假肢、脑控手功能、下肢康复外骨骼。灵巧假肢手系统具有12个活动关节，内置7个驱动单元，采用神经信号控制，可模拟人手抓取不同类型的物体。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仿生机器鱼</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中科院自动化所</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王宇</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13811912239</w:t>
            </w:r>
          </w:p>
        </w:tc>
        <w:tc>
          <w:tcPr>
            <w:tcW w:w="2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突破了仿鱼游动机构及操纵性一体化设计、高速推进控制和稳态转向控制技术，自主研发了高速高机动仿鱼游动机器人，实现了超过 2.7 BL/s 的高速推进以及小半径转向运动。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1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低能耗变构型仿鸟飞行机器人</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西工大</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薛栋</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15877396176</w:t>
            </w:r>
          </w:p>
        </w:tc>
        <w:tc>
          <w:tcPr>
            <w:tcW w:w="2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对生物飞行机理的深入研究，获得了低雷诺数柔性仿生扑动翼设计方法，实现了扑翼飞行机器人的高效飞行；基于边界控制法显著降低了扑动翼振动对飞行的不利影响，大大改善了仿生飞行机器人的飞行品质；基于双目视觉算法实现了扑翼飞行机器人的自主避障功能，拓展了仿生飞行机器人的任务能力和应用场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1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多学科系统分析CAE平台</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苏州同元软控信息技术有限公司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陈立平</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13307162544</w:t>
            </w:r>
          </w:p>
        </w:tc>
        <w:tc>
          <w:tcPr>
            <w:tcW w:w="2784"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采用新型大规模方程分析技术显著提升系统仿真内核求解性能，以某工程机械系统多学科综合仿真为对象，同一工况下MWorks仿真耗时787s，对标软件（国际顶级工业软件商法国达索系统）仿真耗时1620s，平均仿真时间约为对标软件的1/2，求解速度快一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1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自主工业无线国际标准与网络化智能控制系统</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中科院沈自所</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曾鹏</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13840384256</w:t>
            </w:r>
          </w:p>
        </w:tc>
        <w:tc>
          <w:tcPr>
            <w:tcW w:w="2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攻克电磁干扰严重工厂环境下的大规模可靠组网、高并发实时传输技术，实现千点级网络秒级确定性时延和99%以上可靠性的国际领先指标，制定了我国在该领域唯一国际标准。研发了面向电力输送、石油开采、钢铁轧制的首型无线控制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1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基于机器学习的智能控制器及编程工具</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浙江中控</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来晓</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13588854221</w:t>
            </w:r>
          </w:p>
        </w:tc>
        <w:tc>
          <w:tcPr>
            <w:tcW w:w="2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研究网络环境下分布式协同控制架构和服务模型，建立无中心节点模型的实时控制网络及可信通讯协议，设计适配机器学习的智能控制硬件平台和实时多任务控制引擎，研发满足工业网络协同的高控制运算能力的智能控制基础硬件平台和多任务控制内核，研制多款智能控制器硬件产品及软件平台。研究成果智能PLC控制器G5pro已完成示范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1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新一代大型自动化集装箱码头智能操作系统</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上海国际港务（集团）股份有限公司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杨靖培</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13761373246</w:t>
            </w:r>
          </w:p>
        </w:tc>
        <w:tc>
          <w:tcPr>
            <w:tcW w:w="2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针对我国港口运营管理能力和综合服务能力不断提升需求，攻克原有技术在交互响应速度、应变能力、智能水平和运营规模等方面的局限，在码头智能管控系统、总体布局和智能装备等核心领域取得了多项具有完全自主知识产权的原始创新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6"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1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基于开放架构的云制造平台</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北京航天智造科技发展有限公司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张华</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15210835048</w:t>
            </w:r>
          </w:p>
        </w:tc>
        <w:tc>
          <w:tcPr>
            <w:tcW w:w="2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攻克了资源与能力上云卡脖子技术，支持百万企业设备、产线和业务上云；攻克了工业大数据驱动的APP构建与驱动技术，支撑企业云端云化应用；攻克了设备、工业APP及算法模型开放式接入技术，研发了具有完全自主知识产权、基于开放架构的云制造平台，国际上首次提出“智慧云制造+边缘制造”新模式，支撑数字化工业体系的构建，培育建立云制造合作共赢的协同发展生态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1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多品种大批量混线加工智能工厂集成技术研究和应用示范</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潍柴动力股份有限公司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孙希科</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15169582526</w:t>
            </w:r>
          </w:p>
        </w:tc>
        <w:tc>
          <w:tcPr>
            <w:tcW w:w="2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针对汽车动力总成行业存在加工设备通信接口不统一、质量决策效率低、多源数据处理难等问题，项目组攻克设备互联互通、产线动态重构、制造全过程智能决策等技术瓶颈，实现生产制造全要素互联、全数字集成、全过程监控和全流程优化，建成3类产品、25个型号、年产30万件动力总成关键零部件的柔性化混线智能工厂应用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1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量子钻石原子力显微镜</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国仪量子（合肥）技术有限公司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王鹏飞</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15655148316</w:t>
            </w:r>
          </w:p>
        </w:tc>
        <w:tc>
          <w:tcPr>
            <w:tcW w:w="2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基于金刚石单自旋量子探针的量子技术，开发“用户友好”“皮实可靠”的国际首台商业化的原理创新型固态量子材料自旋信息测量仪。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1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高性能多功能矢量网络分析仪工程化及应用开发</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中电科思仪科技股份有限公司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梁胜利</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13668883609</w:t>
            </w:r>
          </w:p>
        </w:tc>
        <w:tc>
          <w:tcPr>
            <w:tcW w:w="2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研制具有自主知识产权的高性能多功能矢量网络分析仪，具备功能丰富、性能卓越、好用易用的特点，打破国外技术封锁和产品垄断。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1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四极杆飞行时间液相色谱质谱联用仪的研制及应用开发</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安徽皖仪科技公司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徐伟</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13640607759</w:t>
            </w:r>
          </w:p>
        </w:tc>
        <w:tc>
          <w:tcPr>
            <w:tcW w:w="2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开发四极杆飞行时间液相色谱质谱联用仪，实现具有高重复性、宽质量范围和较高分辨率的色谱、质谱分析性能，以满足医药开发、环境监测等不同领域的应用需求。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1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高灵敏度高分辨串级质谱仪器研制</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广州禾信仪器股份有限公司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傅忠</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13632233999</w:t>
            </w:r>
          </w:p>
        </w:tc>
        <w:tc>
          <w:tcPr>
            <w:tcW w:w="2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针对痕量物质检测及难以同时具备高灵敏高质量精度问题，研发四极杆-离子阱-飞行时间分析器串级技术，应用于代谢组学、药物检测、生物大分子等领域。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1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大型复杂构件激光增材制造技术及规模化应用</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北京航空航天大学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邢飞</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13770799977</w:t>
            </w:r>
          </w:p>
        </w:tc>
        <w:tc>
          <w:tcPr>
            <w:tcW w:w="2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解决航空航天重点型号用薄壁复杂结构、随形内流道零件的制造难题，研制出高稳定性粉末床激光选区熔化增材制造装备；面向大型航空整体结构研制的迫切需求，突破双光束装备一体化控制技术、模块化可重构技术、全工艺流程控制技术、结构创新设计技术、成形连接技术等关键技术，形成超大尺寸构件的一体化增材制造能力，建立相关标准与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1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铸造砂型3D打印机及铸件 </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宁夏共享集团股份有限公司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彭凡</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13995092817</w:t>
            </w:r>
          </w:p>
        </w:tc>
        <w:tc>
          <w:tcPr>
            <w:tcW w:w="2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开发了成形效率大于500L/h双箱铸造砂型3D打印设备，完成打印头优化设计，开发了铸造3D喷墨打印用液料，完成了砂型3D打印/调压铸造集成技术研究。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1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飞秒激光电子动态调控微细加工技术及应用</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北京理工大学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胡洁</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18201109354</w:t>
            </w:r>
          </w:p>
        </w:tc>
        <w:tc>
          <w:tcPr>
            <w:tcW w:w="2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研制飞秒激光制造装备2类，完成国家重大工程中难加工材料、高深径比、高质量微孔制备，微孔加工深径比不低于1000：1；所加工的高温传感器测试极限不低于1200摄氏度，支撑国防领域高超飞行器、导弹、火箭、尖端战斗机等的研制/试验/生产。</w:t>
            </w:r>
          </w:p>
        </w:tc>
      </w:tr>
    </w:tbl>
    <w:p>
      <w:pPr>
        <w:jc w:val="both"/>
        <w:outlineLvl w:val="1"/>
        <w:rPr>
          <w:rFonts w:hint="eastAsia" w:ascii="楷体" w:hAnsi="楷体" w:eastAsia="楷体" w:cs="楷体"/>
          <w:b/>
          <w:bCs/>
          <w:i w:val="0"/>
          <w:iCs w:val="0"/>
          <w:color w:val="000000" w:themeColor="text1"/>
          <w:kern w:val="0"/>
          <w:sz w:val="32"/>
          <w:szCs w:val="32"/>
          <w:u w:val="none"/>
          <w:lang w:val="en-US" w:eastAsia="zh-CN" w:bidi="ar"/>
          <w14:textFill>
            <w14:solidFill>
              <w14:schemeClr w14:val="tx1"/>
            </w14:solidFill>
          </w14:textFill>
        </w:rPr>
      </w:pPr>
      <w:bookmarkStart w:id="4" w:name="_Toc21716"/>
      <w:r>
        <w:rPr>
          <w:rFonts w:hint="eastAsia" w:ascii="楷体" w:hAnsi="楷体" w:eastAsia="楷体" w:cs="楷体"/>
          <w:b/>
          <w:bCs/>
          <w:i w:val="0"/>
          <w:iCs w:val="0"/>
          <w:color w:val="000000" w:themeColor="text1"/>
          <w:kern w:val="0"/>
          <w:sz w:val="32"/>
          <w:szCs w:val="32"/>
          <w:u w:val="none"/>
          <w:lang w:val="en-US" w:eastAsia="zh-CN" w:bidi="ar"/>
          <w14:textFill>
            <w14:solidFill>
              <w14:schemeClr w14:val="tx1"/>
            </w14:solidFill>
          </w14:textFill>
        </w:rPr>
        <w:t>4.能源交通领域专项</w:t>
      </w:r>
      <w:bookmarkEnd w:id="4"/>
    </w:p>
    <w:tbl>
      <w:tblPr>
        <w:tblStyle w:val="5"/>
        <w:tblW w:w="85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288"/>
        <w:gridCol w:w="2028"/>
        <w:gridCol w:w="1752"/>
        <w:gridCol w:w="2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成果名称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完成单位</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联系方式</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煤经合成气直接制高值化学品</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中国科学院大连化学物理研究所</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潘秀莲</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13591303582</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首次成功完成千吨级规模的工业性试验，实现CO单程转化率42%，低碳烯烃选择性77.9%的高水平目标，通过了技术成果鉴定。OXZEO</w:t>
            </w:r>
            <w:r>
              <w:rPr>
                <w:rFonts w:hint="eastAsia" w:ascii="宋体" w:hAnsi="宋体" w:eastAsia="宋体" w:cs="宋体"/>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新概念也为CO2转化制系列高值化学品和燃料提供了一个新技术平台。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400万吨/年煤间接液化成套技术创新开发及产业化</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国家能源投资集团有限责任公司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张勇</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18612281282</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家能源集团宁夏煤业联合20余家单位协同攻关，在费托合成催化剂和工艺、重大装备及材料、工程放大及系统集成技术、节能节水等方面取得重要创新成果，形成了可复制、可推广的煤间接液化成套技术，建成了全球单体规模最大的400万吨/年煤间接液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高效灵活二次再热发电机组研制及工程示范</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国家能源投资集团有限责任公司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张勇</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18612281282</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在江苏宿迁建成2X660MW高效灵活二次再热发电机组研示范工程。600MW等级二次再热塔式锅炉、高效汽轮机、智能发电控制系统及汽电双驱高效供热等核心技术实现国内首创、自主可控。机组额定负荷发电效率达到48.21%，发电煤耗254.8g/kWh，各项主要技术经济指标处于同类型机组全球最优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1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国产抗台风半潜浮动式海上风力发电系统成套装备</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三峡珠江发电有限责任公司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邢颖</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13701310962</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明阳MySE5.5MW抗台风型浮式机组是全球第一台抗台风型海上漂浮式风机。该风机单机容量为5500千瓦,风轮直径达到158米，每小时发电5500度,每年可以为3万户家庭提供绿色清洁能源。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新一代高效太阳电池</w:t>
            </w:r>
          </w:p>
        </w:tc>
        <w:tc>
          <w:tcPr>
            <w:tcW w:w="2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中国科学院半导体研究所</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王晓东</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13681243043</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张晓丹</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13820413518</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1.新一代高效中间能带太阳能电池</w:t>
            </w:r>
            <w:r>
              <w:rPr>
                <w:rFonts w:hint="eastAsia" w:hAnsi="宋体" w:cs="仿宋_GB2312"/>
                <w:i w:val="0"/>
                <w:iCs w:val="0"/>
                <w:color w:val="000000"/>
                <w:kern w:val="0"/>
                <w:sz w:val="22"/>
                <w:szCs w:val="22"/>
                <w:u w:val="none"/>
                <w:lang w:val="en-US" w:eastAsia="zh-CN" w:bidi="ar"/>
              </w:rPr>
              <w:t>；</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2.两端钙钛矿/晶硅叠层太阳电池技术</w:t>
            </w:r>
            <w:r>
              <w:rPr>
                <w:rFonts w:hint="eastAsia" w:hAnsi="宋体" w:cs="仿宋_GB2312"/>
                <w:i w:val="0"/>
                <w:iCs w:val="0"/>
                <w:color w:val="000000"/>
                <w:kern w:val="0"/>
                <w:sz w:val="22"/>
                <w:szCs w:val="22"/>
                <w:u w:val="none"/>
                <w:lang w:val="en-US" w:eastAsia="zh-CN" w:bidi="ar"/>
              </w:rPr>
              <w:t>；</w:t>
            </w:r>
          </w:p>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3.碲化镉薄膜太阳能电池产业化技术及光电绿色建材</w:t>
            </w:r>
            <w:r>
              <w:rPr>
                <w:rFonts w:hint="eastAsia" w:hAnsi="宋体"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1288"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时速600公里高速磁浮列车</w:t>
            </w:r>
          </w:p>
        </w:tc>
        <w:tc>
          <w:tcPr>
            <w:tcW w:w="202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中车青岛四方机车车辆股份有限公司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张敏</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18364221128</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攻克时速600公里高速磁浮核心技术，形成具有完全自主知识产权的工程和装备成套技术方案，构建研发、试验、制造平台和全系统国产化产业链，完成工程化装备研制、系统联调和低速线路试验。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1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时速400公里跨国互联互通高速动车组</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中车长春轨道客车股份有限公司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吕</w:t>
            </w:r>
            <w:r>
              <w:rPr>
                <w:rFonts w:hint="eastAsia" w:ascii="宋体" w:hAnsi="宋体" w:eastAsia="宋体" w:cs="宋体"/>
                <w:i w:val="0"/>
                <w:iCs w:val="0"/>
                <w:color w:val="000000"/>
                <w:kern w:val="0"/>
                <w:sz w:val="22"/>
                <w:szCs w:val="22"/>
                <w:u w:val="none"/>
                <w:lang w:val="en-US" w:eastAsia="zh-CN" w:bidi="ar"/>
              </w:rPr>
              <w:t>赟</w:t>
            </w:r>
            <w:r>
              <w:rPr>
                <w:rFonts w:hint="eastAsia" w:ascii="仿宋_GB2312" w:hAnsi="宋体" w:eastAsia="仿宋_GB2312" w:cs="仿宋_GB2312"/>
                <w:i w:val="0"/>
                <w:iCs w:val="0"/>
                <w:color w:val="000000"/>
                <w:kern w:val="0"/>
                <w:sz w:val="22"/>
                <w:szCs w:val="22"/>
                <w:u w:val="none"/>
                <w:lang w:val="en-US" w:eastAsia="zh-CN" w:bidi="ar"/>
              </w:rPr>
              <w:t>君</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18243119490</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以“跨国互联互通”“变轨距走行系”和“智能化主动安全与运维保障”为特征，适应轨距1435mm/1520mm，适应环境温度-50℃～+40℃，适应不同牵引供电制式，单位能耗降低10%。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时速350公里货运动车组</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中车唐山机车车辆有限公司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哈洪峰</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13785529008</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利用大数据分析、云端虚拟配载等技术，实现了货物的智能配载和车辆负载的合理分配；采用UWB技术和移动数据网络技术等，实现了货物的精准识别定位和货物信息的车地交互；采用集装器和不同温度控制，实现了满足不同温度需求的货物快捷装卸运输。具有运量大、运输时效性高、运输成本低以及全天候运行等显著优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12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氢燃料电池重卡</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潍柴动力股份有限公司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朱洪超</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19963098055</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氢燃料电池发动机采用了自主开发的高功率密度超薄石墨板电堆，最高效率突破60%，寿命超过30000小时，电堆功率密度高达4.0kW/L，性能和可靠性均达到世界先进水平。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面向自动驾驶的智能自动充电系统</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特来电新能源股份有限公司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栾复东</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18562685168</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下压式大功率自动充电技术，115项专利，国内首创行业领先；可实现上下客间隙快速补电，让电动客车充电步入“秒充时代”。三轴超大功率自动充电技术，78项专利，国际首创行业领先；让无人驾驶电动商用车充电步入全自动“闪充时代”。</w:t>
            </w:r>
          </w:p>
        </w:tc>
      </w:tr>
    </w:tbl>
    <w:p>
      <w:pPr>
        <w:pStyle w:val="3"/>
        <w:ind w:left="0" w:leftChars="0" w:firstLine="0" w:firstLineChars="0"/>
      </w:pPr>
    </w:p>
    <w:p>
      <w:pPr>
        <w:jc w:val="both"/>
        <w:outlineLvl w:val="1"/>
        <w:rPr>
          <w:rFonts w:hint="eastAsia" w:ascii="楷体" w:hAnsi="楷体" w:eastAsia="楷体" w:cs="楷体"/>
          <w:b/>
          <w:bCs/>
          <w:i w:val="0"/>
          <w:iCs w:val="0"/>
          <w:color w:val="000000" w:themeColor="text1"/>
          <w:kern w:val="0"/>
          <w:sz w:val="32"/>
          <w:szCs w:val="32"/>
          <w:u w:val="none"/>
          <w:lang w:val="en-US" w:eastAsia="zh-CN" w:bidi="ar"/>
          <w14:textFill>
            <w14:solidFill>
              <w14:schemeClr w14:val="tx1"/>
            </w14:solidFill>
          </w14:textFill>
        </w:rPr>
      </w:pPr>
      <w:bookmarkStart w:id="5" w:name="_Toc24287"/>
      <w:r>
        <w:rPr>
          <w:rFonts w:hint="eastAsia" w:ascii="楷体" w:hAnsi="楷体" w:eastAsia="楷体" w:cs="楷体"/>
          <w:b/>
          <w:bCs/>
          <w:i w:val="0"/>
          <w:iCs w:val="0"/>
          <w:color w:val="000000" w:themeColor="text1"/>
          <w:kern w:val="0"/>
          <w:sz w:val="32"/>
          <w:szCs w:val="32"/>
          <w:u w:val="none"/>
          <w:lang w:val="en-US" w:eastAsia="zh-CN" w:bidi="ar"/>
          <w14:textFill>
            <w14:solidFill>
              <w14:schemeClr w14:val="tx1"/>
            </w14:solidFill>
          </w14:textFill>
        </w:rPr>
        <w:t>5.现代服务业与空天领域专项</w:t>
      </w:r>
      <w:bookmarkEnd w:id="5"/>
    </w:p>
    <w:tbl>
      <w:tblPr>
        <w:tblStyle w:val="5"/>
        <w:tblW w:w="85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288"/>
        <w:gridCol w:w="2028"/>
        <w:gridCol w:w="1752"/>
        <w:gridCol w:w="2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成果名称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完成单位</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联系方式</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成渝城市群综合科技服务平台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重庆市科学技术研究院</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张丽</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15802392895</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建成成渝城市群综合科技服务平台，提出面向典型产业复杂需求的科技淘宝、科技威客、总包分包等科技服务模式，突破异种异质异构的科技服务资源搜索、分级服务质量评估与智能匹配响应3项关键技术，整合研发设计、检验检测、创业孵化、科技金融4类优势科技服务资源，建成汽车、物联网、集成电路、工程机械4个产业子平台以及成渝5个区域分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数字教育众筹众创个性化服务平台与应用示范</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华中师范大学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刘三女牙</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13659885363</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众智科学理论和新一代智能技术，构建了数字教育优质内容众筹、课程众筹、体系众筹等多种众筹模式，研制了数字教育众筹众创个性化服务平台，探索建立了覆盖基础教育、职业与继续教育、高等教育的优质资源众筹众创供给模式；形成了应用驱动、竞争提供的优质资源个性化服务机制以及线上线下相结合的数字教育众筹众创新型运行模式，实现多方共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0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全网全媒体版权内容实时监测云服务平台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中国科学院自动化研究所</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刘杰</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13488693638</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突破版权确权、透明交易和实时追踪监测等关键技术，实现媒体在传播流转过程中的版权确权与追踪，在互联网海量图文音视媒体环境下，利用技术手段快速锁定侵权行为，准确率达99.90%以上，进而构建第三方社会化数字版权资产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快件物流资源共享服务平台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圆通速递有限公司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孙莎莎</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13816267646</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过构建快件物流资源共享数据库，形成面向共享经济的快件物流综合服务平台。针对多主体快件物流企业在不同区域、不同业务场景中人、车、货、场等共享资源的不同组合实现了综合服务平台的示范应用，形成了共享经济模式下一系列的标准规范。与此同时，为快递行业内的复制推广提供操作指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大型活动数字孪生与仿真系统</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北京电影学院</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王春水</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13601365692</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向影视制作、冬奥赛事等大型活动转播、制作等技术升级的重大需求，针对以往技术方案运行设计成本高、效率低、技术与艺术创作脱节、软硬件接口及制作流程缺乏一致性等重点问题，研发了大型活动数字孪生与仿真系统。通过VR/AR技术增加大型活动在规划与运行设计阶段的直观性和友好性、通过云计算技术增加大型活动运行设计的交互协作性、通过人工智能技术降低大型活动运行设计的制作成本并增加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超高清非线性编辑系统</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成都索贝数码科技股份有限公司</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王莎菲</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13982021115</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该平台将素材上下载系统、非线性编辑系统、调色系统、音频制作系统、特效制作系统、字幕包装系统和合成渲染系统等制作领域所需的各个模块集于一体，在一个软件中可以形成一站式全链条后期制作，实现全域制作。该平台适配从标清、高清、4K/8K超高清到360°全景视频及任意分辨率、任意帧率多帧率、多格式、多色彩空间及伽马曲线的素材混合编辑，为媒体影视行业的记者/编导/制作人提供一种高效的超高清视音频编辑工作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贸易金融开放平台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中国人民银行数字货币研究所</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张崇</w:t>
            </w:r>
            <w:r>
              <w:rPr>
                <w:rFonts w:hint="eastAsia" w:ascii="宋体" w:hAnsi="宋体" w:eastAsia="宋体" w:cs="宋体"/>
                <w:i w:val="0"/>
                <w:iCs w:val="0"/>
                <w:color w:val="000000"/>
                <w:kern w:val="0"/>
                <w:sz w:val="22"/>
                <w:szCs w:val="22"/>
                <w:u w:val="none"/>
                <w:lang w:val="en-US" w:eastAsia="zh-CN" w:bidi="ar"/>
              </w:rPr>
              <w:t>軻</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18611719722</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该平台利用金融科技赋能创新，有效疏解中小企融资难融资贵痛点，主动践行社会责任担当，积极探索以“金融+科技”的创新方式解决行业痛点难点，努力实现贸易金融3.0的实现与突破。随着金融业数字化转型不断深入，贸易金融与新技术也逐步融合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全球二氧化碳监测科学实验卫星</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中国科学院微小卫星创新研究院</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吴逸舟</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13564852548</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该卫星由中国科学院和中国气象局共同承担研制，目前已经在轨运行4年多。碳卫星的成功发射，填补了我国在天基高光谱温室气体测量方面的技术空白，实现了我国二氧化碳监测从“看不见”到“看得见”的跨越，使我国天基温室气体监测技术得到初步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红外发射谱段空间辐射基准载荷</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中国科学院上海技术物理研究所</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本项目突破红外发射谱段空间辐射基准载荷的关键技术，解决了核心探测器部件的“卡脖子”难题，实现核心部组件自主可控。为我国空间辐射测量基准卫星的发射奠定坚实的基础。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协同精密定位平台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武汉大学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楼益栋</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13554364218</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协同精密定位服务平台为大众智能手机用户提供中国区域范围室外定位精度1米、室内定位精度3米的室内外无缝定位，并具备智慧交通用户定位精度分米级甚至厘米级、无人系统厘米级的服务能力，目前平台用户处理能力达到1亿，每日定位处理能力达到1000亿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海洋大地测量基准装备及海洋导航技术</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中国测绘科学研究院</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薛树强</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13717998948</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研制首批适应深海环境的海底基准站，实现我国海底基准装备“从无到有”的重大突破；研制海洋多传感器导航装备和配套软件，解决海洋场景国家综合PNT体系建设的重大技术难题；在南海建立我国首个海底基准网和海洋导航试验场，为有关军民融合工程和国家综合PNT体系建设提供了理论和技术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基于一体化微纳卫星的分布式可重构遥感系统技术</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清华大学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张高飞/刘春雨</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13811010357</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向分布式可重构微纳遥感平台需求，研制出微型化姿轨测量、编队测量，微型化综合信息处理与通讯系统样机。面向轻型化微纳遥感平台需求，研制出5kg级普查（分辨力优于10m，幅宽大于120km）、详查（分辨力优于1m，幅宽大于8km）、视频（分辨力优于2m，幅宽大于10km）等遥感载荷，10kg级高光谱遥感载荷（空间分辨力10m，光谱分辨率10nm-15nm，256个谱段，幅宽150km）。面向应急遥感需求，提出了基于虚拟卫星星簇的分布式可重构微纳遥感系统与设计仿真技术，研制20kg高性能纳型遥感卫星，构建分布式遥感应用模式与星群半实物仿真演示系统，具备全球任意点2小时重访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区域协同遥感监测与应急服务</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武汉大学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刘俊怡</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13397107051</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构建了区域遥感协同监测应急服务技术体系，发布了2项国家标准，首创了遥感协同监测应急服务保障预案编制方法，编制了5项专项预案；研制了卫星在轨智能处理、机载在线实时处理、无人机遥感数据传输等硬件装备，形成了空天地遥感协同无人区应急响应智能服务的完整解决方案，填补了无人区遥感处突应急的空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高频迅捷无人航空器区域组网观测系统</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中国科学院地理科学与资源研究所</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于艳梅</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13488718244</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研发了无人航空器区域组网遥感观测系统。系统包括翱翔系列固定翼、旋翼无人机、尾座式无人机组网系统和系列浮空器平台，多种轻小型遥感载荷，小型化低功耗组网通信系统，基于三维地理信息系统、云边端一体化的网络体系构建的无人航空器组网遥感管控系统，无人机遥感数据处理和应用系统。系统具备针对不同应用场景开展高频迅捷无人航空器区域组网协同观测、短时间大范围遥感覆盖、组网无人航空器临场和远程实时管控等能力，具备实时开展数据分析和形成应用综合分析报告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高分宽幅星载合成孔径雷达技术</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中国科学院空天信息创新研究院</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贾小雪</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13241916131</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星载合成孔径雷达(SAR)是一种先进的对地微波成像载荷，中科院空天信息创新研究院星载SAR研发团队，通过自主创新研究，突破了高分宽幅星载SAR的核心关键技术，形成系统的工程解决方案，先后研制发射了高分三号、高分十号、高分十二号和遥感三十三号等成像分辨率与幅宽居世界领先水平的系列SAR卫星载荷，为维护国家安全和服务国民经济建设发挥重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北斗航空器追踪系统及监控实况展示</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中国民航大学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尹航</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18002042166</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将北斗卫星导航系统用于航班位置监视。突破北斗机载设备运行性能及测试、设备安全及可靠性分析、评估与试验技术。制定北斗短报文通信规范，将接收到航空器位置信息，机载设备总线中得到的航空器姿态信息，通过北斗短报文通信链路自动下传，在全球首次实现基于北斗的运输航班飞行全程位置监视与追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高精度角镜回复反射器</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北京空间机电研究所</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徐彭梅</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13651065845</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依托科技部国家重大专项“大气辐射超光谱探测技术”项目，突破了大口径高精度角镜回复反射器的关键技术，实现了有效口径80mmX150mm、回复角偏差&lt;1角秒、顶点重合误差&lt;10um的背靠背角镜组件研制，技术指标达到国际先进水平，具备了宇航级高精度角镜的自主研制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0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超大视场低温红外光谱仪</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中国科学院长春光学精密机械与物离研究所</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郑玉权</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13500828095</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突破大视场低温红外成像光谱仪关键技术，实现了线视场120mm、低温100K的中、长波红外光谱成像，采用自主独创的光谱仪光机结构，具有简单、可靠、稳定性高的特点，技术指标高，可满足航天航空大视场红外光谱成像的应用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芯片原子钟</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中国科学院</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陈杰华</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18140558588</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实现了8cm3产品，进而实现了2.3cm3样机。研制的芯片原子钟输出频率精度与国外最小产品（16cm3）相当，但体积大幅度减小，成功打破美国在该领域垄断。项目成果使我国芯片原子钟处于国际领先行列，8cm3产品已应用于定位导航授时微终端、水下导航系统和北斗保密通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地球资源环境遥感动态监测信息系统</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中国科学院空天信息创新研究院</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吴艳红</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13717586809</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倪丽</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13520469627</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向全球治理和可持续发展对全球性环境资源状况及时把握的重大需求，项目突破全球区域多源遥感数据共性处理、地表参量高精度反演、动态变化高可信监测等一系列关键技术，建成全流程规模化遥感应用云平台，开展面向资源、生态环境、农业、自然灾害等应用示范。</w:t>
            </w:r>
          </w:p>
        </w:tc>
      </w:tr>
    </w:tbl>
    <w:p/>
    <w:p>
      <w:pPr>
        <w:outlineLvl w:val="1"/>
        <w:rPr>
          <w:rFonts w:hint="eastAsia" w:ascii="楷体" w:hAnsi="楷体" w:eastAsia="楷体" w:cs="楷体"/>
          <w:b/>
          <w:bCs/>
          <w:i w:val="0"/>
          <w:iCs w:val="0"/>
          <w:color w:val="000000" w:themeColor="text1"/>
          <w:kern w:val="0"/>
          <w:sz w:val="32"/>
          <w:szCs w:val="32"/>
          <w:u w:val="none"/>
          <w:lang w:val="en-US" w:eastAsia="zh-CN" w:bidi="ar"/>
          <w14:textFill>
            <w14:solidFill>
              <w14:schemeClr w14:val="tx1"/>
            </w14:solidFill>
          </w14:textFill>
        </w:rPr>
      </w:pPr>
      <w:bookmarkStart w:id="6" w:name="_Toc4297"/>
      <w:r>
        <w:rPr>
          <w:rFonts w:hint="eastAsia" w:ascii="楷体" w:hAnsi="楷体" w:eastAsia="楷体" w:cs="楷体"/>
          <w:b/>
          <w:bCs/>
          <w:i w:val="0"/>
          <w:iCs w:val="0"/>
          <w:color w:val="000000" w:themeColor="text1"/>
          <w:kern w:val="0"/>
          <w:sz w:val="32"/>
          <w:szCs w:val="32"/>
          <w:u w:val="none"/>
          <w:lang w:val="en-US" w:eastAsia="zh-CN" w:bidi="ar"/>
          <w14:textFill>
            <w14:solidFill>
              <w14:schemeClr w14:val="tx1"/>
            </w14:solidFill>
          </w14:textFill>
        </w:rPr>
        <w:t>6.大科学装置领域专项</w:t>
      </w:r>
      <w:bookmarkEnd w:id="6"/>
    </w:p>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288"/>
        <w:gridCol w:w="2028"/>
        <w:gridCol w:w="1752"/>
        <w:gridCol w:w="27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成果名称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完成单位</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联系方式</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高海拔宇宙线观测站(LHAASO)</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中国科学院高能物理研究所</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郭义庆</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13718299179</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国家重大科技基础设施LHAASO运行一年即发现最高能伽马光子，达1.4拍（拍=千万亿）电子伏；发现一批亚拍电子伏以上银河系伽马源，其加速能力和粒子传播行为突破传统认知，开启了 “超高能伽马天文学”时代，为系统开展高能宇宙线物理、极端条件下高能天体辐射及新物理研究揭开新篇章。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500米口径球面射电望远镜（FAST）</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中国科学院国家天文台</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陈龙飞</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13201388929</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利用“中国天眼”（FAST），实现了世界首创的多科学目标巡天模式（CRAFTS），数倍提高了FAST的观测效率。利用CRAFTS数据，发现4颗处于早期宇宙的快速射电暴，填补了特殊参数的空白。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中国散裂中子源</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中国科学院高能物理研究所</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刘蕴韬</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13552776195</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实现双聚焦硅单色器、径向准直器及双晶石墨单色器等中子光学关键部件国产化替代，国际率先成功研制二维高分辨大面积GEM中子探测器。国内首次开展镍基高温合金盘件的深部三维残余应力云图测量，解决了不同热处理工艺下发动机盘件深度无损残余应力测量的卡脖子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同步辐射光源</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中国科学院物理研究所</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董靖</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18911690431</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利用同步辐射光源和强磁场装置研究固体中的新奇费米子项目依托国内三个同步辐射光源及两个强磁场中心，发展了契合量子功能材料研究需求的高分辨表征技术，产出了如 “实验上首次观测到三重简并费米子”、“实验观测到新型手性费米子”“实验证实非简单空间群拓扑绝缘体中的沙漏费米子”等多项科研成果。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同步辐射光源</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中国科学技术大学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田长麟</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13053085160</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环境诱发情绪异常”神经机制的多尺度成像方法和研究项目围绕“环境诱发情绪异常”这一神经科学问题发展多尺度生物成像方法，包括同步辐射X射线显微高分辨多色成像技术，发展质谱成像技术用于展示小鼠脑代谢物的分布，建立了决策行为的量子模型，揭示了光刺激与抑郁症之间的神经环路，并首次突破物理感知极限实现了哺乳动物裸眼红外图像视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650MHz超导腔</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清华大学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杨露萍</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13371735855</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650 MHz 1-cell超导腔经过电抛光处理后，品质因数达到2.7E10@35MV/m，最大加速梯度（35MV/m）打破了国内同类型超导腔的记录；650 MHz 2-cell超导腔经过掺氮处理后，品质因数达到6E10@22MV/m，为国内最高。以上结果和美国费米实验室650MHz超导腔的性能相当，达到国际领先水平。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大规模高密度斯格明子的发现与人工常态条件实现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中国科学技术大学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陆轻铀</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13003003601</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斯格明子是外部被自旋围起，内部自旋连续转向形成的拓扑保护磁结构，可小至纳米级不坍塌，是下代高密存储理想候选。它多见于单晶，但单晶太小，应用难。我们以自研超灵敏磁力显微镜在可大面积制备的氧化物膜中发现了它，又在光刻的反铁磁耦合器件阵列中实现了人工斯格明子，为其实际应用铺平了道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缺中子锕系核区新核素合成</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中国科学院近代物理研究所</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张玉虎</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13893186787</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本项目基于兰州重离子加速器国家大科学装置和自主研制的充气反冲谱仪，发展了单原子核灵敏的探测鉴别技术，在极端缺中子锕系区首次合成了九种新核素，研究了它们的衰变性质。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基于射频波协同效应的稳态高性能等离子体运行模式</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中国科学院合肥物质科学研究院</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李佩文</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18656083728</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等离子体物理研究所通过发展和完善兆瓦级高功率射频波长距离、低损耗、安全可靠稳定传输技术，利用ECRH与LHCD物理上协同效应，在EAST上成功获得了61 s极向比压高达～2.0等离子体；同时，通过探索各种加热手段最佳兼容运行区间，实现了耦合功率大于10 MW的运行模式。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超强激光在高温高密度极端物质科学中的先进诊断技术</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北京应用物理与计算数学研究所</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周沧涛</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13651012022</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本项目在大密度跨越多物理量电磁粒子流体混合模拟程序研制、滤片堆栈谱仪和晶体谱仪等核心技术、高温高密度极端物质科学中的先进诊断应用等获得多项开拓性新成果，为国家重大科技专项激光装置建设提供技术依据。</w:t>
            </w:r>
          </w:p>
        </w:tc>
      </w:tr>
    </w:tbl>
    <w:p>
      <w:pPr>
        <w:pStyle w:val="2"/>
      </w:pPr>
    </w:p>
    <w:p>
      <w:pPr>
        <w:jc w:val="both"/>
        <w:outlineLvl w:val="1"/>
        <w:rPr>
          <w:rFonts w:hint="eastAsia" w:ascii="楷体" w:hAnsi="楷体" w:eastAsia="楷体" w:cs="楷体"/>
          <w:b/>
          <w:bCs/>
          <w:i w:val="0"/>
          <w:iCs w:val="0"/>
          <w:color w:val="000000" w:themeColor="text1"/>
          <w:kern w:val="0"/>
          <w:sz w:val="32"/>
          <w:szCs w:val="32"/>
          <w:u w:val="none"/>
          <w:lang w:val="en-US" w:eastAsia="zh-CN" w:bidi="ar"/>
          <w14:textFill>
            <w14:solidFill>
              <w14:schemeClr w14:val="tx1"/>
            </w14:solidFill>
          </w14:textFill>
        </w:rPr>
      </w:pPr>
      <w:bookmarkStart w:id="7" w:name="_Toc7006"/>
      <w:r>
        <w:rPr>
          <w:rFonts w:hint="eastAsia" w:ascii="楷体" w:hAnsi="楷体" w:eastAsia="楷体" w:cs="楷体"/>
          <w:b/>
          <w:bCs/>
          <w:i w:val="0"/>
          <w:iCs w:val="0"/>
          <w:color w:val="000000" w:themeColor="text1"/>
          <w:kern w:val="0"/>
          <w:sz w:val="32"/>
          <w:szCs w:val="32"/>
          <w:u w:val="none"/>
          <w:lang w:val="en-US" w:eastAsia="zh-CN" w:bidi="ar"/>
          <w14:textFill>
            <w14:solidFill>
              <w14:schemeClr w14:val="tx1"/>
            </w14:solidFill>
          </w14:textFill>
        </w:rPr>
        <w:t>7.国家重点实验室专项</w:t>
      </w:r>
      <w:bookmarkEnd w:id="7"/>
    </w:p>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288"/>
        <w:gridCol w:w="2028"/>
        <w:gridCol w:w="1752"/>
        <w:gridCol w:w="27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成果名称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完成单位</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联系方式</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65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28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全柔性织物显示系统</w:t>
            </w:r>
          </w:p>
        </w:tc>
        <w:tc>
          <w:tcPr>
            <w:tcW w:w="202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复旦大学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王兵杰</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13661834856</w:t>
            </w:r>
          </w:p>
        </w:tc>
        <w:tc>
          <w:tcPr>
            <w:tcW w:w="27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发展了新型纤维状锂离子电池，解决了目前可穿戴电子产品对柔性储能系统的需求。该电池具有柔性，透气，可穿戴等性能，可直接做成衣服穿在身上，从而为手机、手表、可穿戴医疗设备等供电，0.1平方米的电池织物能够使手机工作10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碳基电子技术</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北京大学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张志勇</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13810019118</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提出并实现碳纳米管“无掺杂CMOS技术”，实现了5纳米栅长的碳基晶体管制备。解决了碳基集成电路在材料、器件结构和制备技术方面的一系列基础问题，发展了高性能碳管CMOS晶体管和光电器件的批量制备技术。发明了一种新型超低功耗晶体管：在实验上实现室温下超陡峭亚阈值摆幅。狄拉克源晶体管有望将集成电路的工作电压降低到0.5V及以下，为3纳米以后技术节点的集成电路技术提供解决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体内抗病DNA纳米机器人</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国家纳米科学中心</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聂广军</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13552563471</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利用DNA折纸技术构建DNA纳米机器人，实现抗肿瘤生物大分子在活体内的精准靶向输运。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纳米限域催化</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中国科学院大连化学物理研究所</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傅强</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13840828073</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从纳米系统的基本原理出发，首次发现纳米孔道限域对催化的调控现象，率先定义了基于界面相互作用的广义限域效应；原创性地提出了“纳米限域催化” 新概念，并成功实践，为催化过程和催化剂设计走向“精准” 建立了理论基础，引领和推动了催化学科的发展；创立OXZEO</w:t>
            </w:r>
            <w:r>
              <w:rPr>
                <w:rFonts w:hint="eastAsia" w:ascii="宋体" w:hAnsi="宋体" w:eastAsia="宋体" w:cs="宋体"/>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 xml:space="preserve"> 过程，实现了合成气直接转化高效制高值化学品，引领了高效、节水煤化工的发展方向。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开创煤制烯烃新捷径</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中国科学院大连化学物理研究所</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潘秀莲</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13591303582</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首次成功完成千吨级规模的工业性试验，实现CO单程转化率42%，低碳烯烃选择性77.9%的高水平目标，通过了技术成果鉴定。OXZEO</w:t>
            </w:r>
            <w:r>
              <w:rPr>
                <w:rFonts w:hint="eastAsia" w:ascii="宋体" w:hAnsi="宋体" w:eastAsia="宋体" w:cs="宋体"/>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新概念也为CO2转化制系列高值化学品和燃料提供一个新技术平台。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金属新型亚稳固态——受限晶体</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中国科学院金属研究所</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金海军</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13898858307</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发现将纯铜晶粒尺寸降低至几纳米会形成一种新型亚稳结构</w:t>
            </w:r>
            <w:r>
              <w:rPr>
                <w:rFonts w:hint="eastAsia" w:ascii="宋体" w:hAnsi="宋体" w:eastAsia="宋体" w:cs="宋体"/>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受限晶体(Schwarz crystal)。这种具有极小界面的三维结构表现出极高的热稳定性和力学稳定性，在熔点温度以下不发生晶粒粗化，其强度接近理论剪切强度。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纳米碳材料产业化关键技术及重大科学前沿</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北京大学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童廉明</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18611643720</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本项目针对石墨烯和碳纳米管的重大科学问题与关键产业化技术，聚焦纳米碳材料从基础研究向产业化的转移；探索石墨炔等新型纳米碳材料，发展具有中国标签的新型纳米碳材料。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数字显微芯片及其应用</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南京大学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沈心雨</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18851086979</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数字显微芯片基于自主研发的VPS超大规模图像传感芯片（像素尺寸0.5微米，像素规模超4亿），与微流腔结合，可以将10ul液体样本内细胞等物质平铺于100mm</w:t>
            </w:r>
            <w:r>
              <w:rPr>
                <w:rFonts w:hint="eastAsia" w:ascii="宋体" w:hAnsi="宋体" w:eastAsia="宋体" w:cs="宋体"/>
                <w:i w:val="0"/>
                <w:iCs w:val="0"/>
                <w:color w:val="000000"/>
                <w:kern w:val="0"/>
                <w:sz w:val="22"/>
                <w:szCs w:val="22"/>
                <w:u w:val="none"/>
                <w:lang w:val="en-US" w:eastAsia="zh-CN" w:bidi="ar"/>
              </w:rPr>
              <w:t>²</w:t>
            </w:r>
            <w:r>
              <w:rPr>
                <w:rFonts w:hint="eastAsia" w:ascii="仿宋_GB2312" w:hAnsi="宋体" w:eastAsia="仿宋_GB2312" w:cs="仿宋_GB2312"/>
                <w:i w:val="0"/>
                <w:iCs w:val="0"/>
                <w:color w:val="000000"/>
                <w:kern w:val="0"/>
                <w:sz w:val="22"/>
                <w:szCs w:val="22"/>
                <w:u w:val="none"/>
                <w:lang w:val="en-US" w:eastAsia="zh-CN" w:bidi="ar"/>
              </w:rPr>
              <w:t>的芯片表面，超4亿个像元同时摄取整个芯片表面的光信号，简单的说就是按下快门就可以秒级地获得数十万个细胞或微生物的显微图像。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摩擦起电机理及纳米发电机理论框架</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中国科学院北京纳米能源与系统研究所</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潘曹峰</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18612037067</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研究了摩擦起电的根本机理，提出用来解释接触起电的通用电子云重叠模型。发展了纳米发电机的理论，首次从理论上揭示了纳米发电机的物理根源是1861年提出的麦克斯韦位移电流，并在麦克斯韦方程组中首次引入PS项表示如压电和摩擦电效应等非电场效应引起的极化，建立了基于经典电动力学第一性原理的纳米发电机整体理论框架，并发展和开拓了位移电流在能源与传感领域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高附加值精细化工产品的多相纳米催化材料与工程化</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中国科学院福建物质结构研究所</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徐忠宁</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18046053659</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研究了煤制乙二醇新一代产业化技术；开发了煤制乙二醇新一代技术，已完成30万吨工艺包编制，正在推进60万吨装置建设。研发正丁烷选择性氧化制顺酐催化剂产业化技术；利用离子液体强化新策略，开发出新型高效钒磷氧催化剂，已实现工业化生产，应用于4套顺酐工业生产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揭示抑郁发生及氯胺酮快速抗抑郁机制</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浙江大学医学院</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杨艳</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0571-88208920</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15906614516</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阐明了氯胺酮快速抗抑郁的全新脑机制，发现氯胺酮通过阻断大脑“反奖励中心”外侧缰核中NMDAR和T-VSCCs依赖的簇状放电，进而释放对下游单胺类奖赏脑区的过度抑制，最终产生快速抗抑郁效果。进一步发现外侧缰核星形胶质细胞中的钾离子通道Kir4.1以包绕神经元胞体的方式表达，并调控神经元的膜电位和簇状放电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光合作用系统的超分子组装及光能的生物利用机制</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中国科学院植物研究所</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沈建仁</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010-62836212</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13651288395</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破解硅藻光合膜蛋白超分子机器的结构和功能之谜，揭示了硅藻高效捕获、传递蓝绿光和对强光保护功能的分子机制；阐明藻类在水下低光强条件下有效捕获光能的结构基础；解析高等植物光系统I-捕光天线I-捕光天线II超分子复合体和光系统II-捕光天线II超分子复合体的高分辨率冷冻电镜结构，揭示植物在光合作用捕光过程中的能量吸收、传递途径及调控机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揭示人类遗传物质传递的关键步骤</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中国科学院生物物理研究所</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李国红</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010-64888795</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18612186792</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阐述了一个新颖的由H2A.Z介导的DNA复制表观遗传调控机制（H2A.Z-SUV420H1-H4K20me2-ORC1），为理解DNA复制起始的精细调控机制提供了新思路和新方向。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蛋白质相分离对神经信号传递和神经退行性疾病的调控</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中科院上海有机化学研究所</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朱继东</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15021116090</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发现非受体酪氨酸磷酸酶SHP2在人类发育性疾病中的基因突变能够促进SHP2蛋白的异常“液液相分离”，并激活下游信号通路导致疾病产生。蛋白质相分离参与多种生物学功能，与人类多种重大疾病的病理过程密切相关。该研究发现，基因突变可直接导致蛋白的相分离异常和人类疾病发生，为相关疾病治疗提供了新思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显微成像时空分辨率极限的突破</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中国科学院生物物理研究所</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李栋</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010-64888513</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18614041896</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发明掠入射结构光超分辨显微成像技术，进一步研制出多模态结构光超分辨显微镜，可对从细胞膜到细胞质，再到全细胞范围内的生物过程进行97纳米空间分辨率，266幅每秒的连续动态观测。与其它超分辨成像技术相比，GI-SIM可提供10倍更快的成像速度，以及10-100倍更长的成像时程。开发出新型干涉定位显微镜ROSE和ROSE-Z，取得3纳米左右的侧向分辨率，可分辨点距为5纳米的DNA origami结构，并实现了6倍轴向分辨率的提升。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重要膜蛋白质大分子结构解析</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中国科学院上海药物研究所</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赵强</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021-50805901</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13681698483</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测定了GCGR与胰高血糖素类似物NNC1702的复合物晶体结构以及利用GCGR在国际上首次测定了一种GPCR与不同类型G蛋白结合的复合物结构。这一发现对深入理解B类GPCR的信号转导机制和全面了解GPCR超家族的结构－功能关系具有极为重要的意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触觉感知离子通道Piezo2的结构与机械门控机制</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清华大学药学院</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肖百龙</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010-62773981</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18600212216</w:t>
            </w:r>
          </w:p>
        </w:tc>
        <w:tc>
          <w:tcPr>
            <w:tcW w:w="2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首次解析了Piezo2的完整三叶螺旋浆状结构及工作机制，揭示了其三聚体共计114次跨膜螺旋区的组装规律，发现了决定其机械力敏感性的独特结构基础，创新性提出其行使机械门控的作用机制假说。</w:t>
            </w:r>
          </w:p>
        </w:tc>
      </w:tr>
    </w:tbl>
    <w:p>
      <w:pPr>
        <w:pStyle w:val="3"/>
        <w:ind w:left="0" w:leftChars="0" w:firstLine="0" w:firstLineChars="0"/>
      </w:pPr>
    </w:p>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  \* MERGEFORMAT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3</w:t>
                          </w:r>
                          <w:r>
                            <w:rPr>
                              <w:rFonts w:hint="eastAsia" w:asciiTheme="minorEastAsia" w:hAnsiTheme="minorEastAsia" w:eastAsiaTheme="minorEastAsia" w:cstheme="minorEastAsia"/>
                              <w:sz w:val="24"/>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  \* MERGEFORMAT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3</w:t>
                    </w:r>
                    <w:r>
                      <w:rPr>
                        <w:rFonts w:hint="eastAsia" w:asciiTheme="minorEastAsia" w:hAnsiTheme="minorEastAsia" w:eastAsiaTheme="minorEastAsia" w:cstheme="minorEastAsia"/>
                        <w:sz w:val="24"/>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YTE0YWQxMGIwYTIzZTlkNjU3Y2M2MDNiNjBkMGEifQ=="/>
  </w:docVars>
  <w:rsids>
    <w:rsidRoot w:val="60E17915"/>
    <w:rsid w:val="60E17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rPr>
      <w:rFonts w:ascii="Times New Roman" w:hAnsi="Times New Roman" w:eastAsia="宋体"/>
      <w:sz w:val="21"/>
      <w:szCs w:val="24"/>
    </w:rPr>
  </w:style>
  <w:style w:type="paragraph" w:styleId="4">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2022-08-10T09:57:00Z</dcterms:created>
  <dc:creator>大粽子</dc:creator>
  <cp:lastModifiedBy>大粽子</cp:lastModifiedBy>
  <dcterms:modified xsi:type="dcterms:W3CDTF">2022-08-10T10:00:30Z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8CC66BB92F9A472C801DC688141292B1</vt:lpwstr>
  </property>
</Properties>
</file>