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宋体" w:hAnsi="宋体" w:eastAsia="宋体" w:cs="宋体"/>
          <w:b/>
          <w:bCs/>
          <w:spacing w:val="-4"/>
          <w:sz w:val="44"/>
          <w:szCs w:val="44"/>
        </w:rPr>
      </w:pPr>
      <w:r>
        <w:rPr>
          <w:rFonts w:hint="eastAsia" w:ascii="宋体" w:hAnsi="宋体" w:eastAsia="宋体" w:cs="宋体"/>
          <w:b/>
          <w:bCs/>
          <w:spacing w:val="-4"/>
          <w:sz w:val="44"/>
          <w:szCs w:val="44"/>
        </w:rPr>
        <w:t>关于印发《辽宁省企业产学研用技术创新联盟</w:t>
      </w:r>
    </w:p>
    <w:p>
      <w:pPr>
        <w:spacing w:line="640" w:lineRule="exact"/>
        <w:jc w:val="center"/>
        <w:rPr>
          <w:rFonts w:ascii="宋体" w:hAnsi="宋体" w:eastAsia="宋体" w:cs="宋体"/>
          <w:b/>
          <w:bCs/>
          <w:spacing w:val="-4"/>
          <w:sz w:val="44"/>
          <w:szCs w:val="44"/>
        </w:rPr>
      </w:pPr>
      <w:r>
        <w:rPr>
          <w:rFonts w:hint="eastAsia" w:ascii="宋体" w:hAnsi="宋体" w:eastAsia="宋体" w:cs="宋体"/>
          <w:b/>
          <w:bCs/>
          <w:spacing w:val="-4"/>
          <w:sz w:val="44"/>
          <w:szCs w:val="44"/>
        </w:rPr>
        <w:t>建设发展指引》的通知</w:t>
      </w:r>
    </w:p>
    <w:p>
      <w:pPr>
        <w:spacing w:line="640" w:lineRule="exact"/>
        <w:ind w:firstLine="704" w:firstLineChars="200"/>
        <w:rPr>
          <w:rFonts w:ascii="仿宋" w:hAnsi="仿宋" w:eastAsia="仿宋" w:cs="仿宋_GB2312"/>
          <w:spacing w:val="-4"/>
          <w:sz w:val="36"/>
          <w:szCs w:val="36"/>
        </w:rPr>
      </w:pPr>
    </w:p>
    <w:p>
      <w:pPr>
        <w:spacing w:line="640" w:lineRule="exact"/>
        <w:rPr>
          <w:rFonts w:ascii="仿宋" w:hAnsi="仿宋" w:eastAsia="仿宋" w:cs="仿宋_GB2312"/>
          <w:spacing w:val="-4"/>
          <w:sz w:val="32"/>
          <w:szCs w:val="32"/>
        </w:rPr>
      </w:pPr>
      <w:r>
        <w:rPr>
          <w:rFonts w:hint="eastAsia" w:ascii="仿宋" w:hAnsi="仿宋" w:eastAsia="仿宋" w:cs="仿宋_GB2312"/>
          <w:spacing w:val="-4"/>
          <w:sz w:val="32"/>
          <w:szCs w:val="32"/>
        </w:rPr>
        <w:t>各市及沈抚示范区科技局、各有关单位：</w:t>
      </w:r>
    </w:p>
    <w:p>
      <w:pPr>
        <w:spacing w:line="640" w:lineRule="exact"/>
        <w:ind w:firstLine="720"/>
        <w:rPr>
          <w:rFonts w:ascii="仿宋" w:hAnsi="仿宋" w:eastAsia="仿宋" w:cs="仿宋_GB2312"/>
          <w:spacing w:val="-4"/>
          <w:sz w:val="32"/>
          <w:szCs w:val="32"/>
        </w:rPr>
      </w:pPr>
      <w:r>
        <w:rPr>
          <w:rFonts w:hint="eastAsia" w:ascii="仿宋" w:hAnsi="仿宋" w:eastAsia="仿宋" w:cs="仿宋_GB2312"/>
          <w:spacing w:val="-4"/>
          <w:sz w:val="32"/>
          <w:szCs w:val="32"/>
        </w:rPr>
        <w:t>按照省委省政府的工作部署，为进一步促进产学研深度融合，推动企业产学研用技术创新联盟发展，推动建立产学研市场化利益联结机制，省科技厅制定了《辽宁省企业产学研用技术创新联盟建设发展指引》。现将该办法印发给你们，请结合实际做好相关工作。</w:t>
      </w:r>
    </w:p>
    <w:p>
      <w:pPr>
        <w:spacing w:line="570" w:lineRule="exact"/>
        <w:ind w:firstLine="645"/>
        <w:rPr>
          <w:rFonts w:ascii="Times New Roman" w:hAnsi="Times New Roman" w:eastAsia="仿宋" w:cs="Times New Roman"/>
          <w:sz w:val="32"/>
          <w:szCs w:val="32"/>
        </w:rPr>
      </w:pPr>
    </w:p>
    <w:p>
      <w:pPr>
        <w:spacing w:line="570" w:lineRule="exact"/>
        <w:ind w:firstLine="320" w:firstLineChars="100"/>
        <w:jc w:val="center"/>
        <w:rPr>
          <w:rFonts w:ascii="Times New Roman" w:hAnsi="Times New Roman" w:eastAsia="仿宋" w:cs="Times New Roman"/>
          <w:sz w:val="32"/>
          <w:szCs w:val="32"/>
        </w:rPr>
      </w:pPr>
      <w:r>
        <w:rPr>
          <w:rFonts w:ascii="Times New Roman" w:hAnsi="Times New Roman" w:eastAsia="仿宋" w:cs="Times New Roman"/>
          <w:sz w:val="32"/>
          <w:szCs w:val="32"/>
        </w:rPr>
        <w:t xml:space="preserve">                辽宁省科学技术厅</w:t>
      </w:r>
    </w:p>
    <w:p>
      <w:pPr>
        <w:adjustRightInd w:val="0"/>
        <w:spacing w:line="570" w:lineRule="exact"/>
        <w:ind w:firstLine="361" w:firstLineChars="113"/>
        <w:jc w:val="center"/>
        <w:rPr>
          <w:rFonts w:ascii="Times New Roman" w:hAnsi="Times New Roman" w:eastAsia="仿宋" w:cs="Times New Roman"/>
          <w:sz w:val="32"/>
          <w:szCs w:val="32"/>
        </w:rPr>
      </w:pPr>
      <w:r>
        <w:rPr>
          <w:rFonts w:ascii="Times New Roman" w:hAnsi="Times New Roman" w:eastAsia="仿宋" w:cs="Times New Roman"/>
          <w:sz w:val="32"/>
          <w:szCs w:val="32"/>
        </w:rPr>
        <w:t xml:space="preserve">                2020年</w:t>
      </w:r>
      <w:r>
        <w:rPr>
          <w:rFonts w:hint="eastAsia" w:ascii="Times New Roman" w:hAnsi="Times New Roman" w:eastAsia="仿宋" w:cs="Times New Roman"/>
          <w:sz w:val="32"/>
          <w:szCs w:val="32"/>
        </w:rPr>
        <w:t>12</w:t>
      </w:r>
      <w:r>
        <w:rPr>
          <w:rFonts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 xml:space="preserve">   </w:t>
      </w:r>
      <w:r>
        <w:rPr>
          <w:rFonts w:ascii="Times New Roman" w:hAnsi="Times New Roman" w:eastAsia="仿宋" w:cs="Times New Roman"/>
          <w:sz w:val="32"/>
          <w:szCs w:val="32"/>
        </w:rPr>
        <w:t>日</w:t>
      </w: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hint="eastAsia" w:ascii="宋体" w:hAnsi="宋体" w:eastAsia="宋体"/>
          <w:b/>
          <w:spacing w:val="2"/>
          <w:sz w:val="44"/>
          <w:szCs w:val="44"/>
        </w:rPr>
      </w:pPr>
    </w:p>
    <w:p>
      <w:pPr>
        <w:tabs>
          <w:tab w:val="left" w:pos="8580"/>
        </w:tabs>
        <w:snapToGrid w:val="0"/>
        <w:spacing w:line="640" w:lineRule="exact"/>
        <w:ind w:right="236"/>
        <w:jc w:val="center"/>
        <w:rPr>
          <w:rFonts w:ascii="宋体" w:hAnsi="宋体" w:eastAsia="宋体"/>
          <w:b/>
          <w:spacing w:val="2"/>
          <w:sz w:val="44"/>
          <w:szCs w:val="44"/>
        </w:rPr>
      </w:pPr>
      <w:r>
        <w:rPr>
          <w:rFonts w:hint="eastAsia" w:ascii="宋体" w:hAnsi="宋体" w:eastAsia="宋体"/>
          <w:b/>
          <w:spacing w:val="2"/>
          <w:sz w:val="44"/>
          <w:szCs w:val="44"/>
        </w:rPr>
        <w:t>辽宁省企业产学研用技术创新联盟</w:t>
      </w:r>
    </w:p>
    <w:p>
      <w:pPr>
        <w:tabs>
          <w:tab w:val="left" w:pos="8580"/>
        </w:tabs>
        <w:snapToGrid w:val="0"/>
        <w:spacing w:line="640" w:lineRule="exact"/>
        <w:ind w:right="236"/>
        <w:jc w:val="center"/>
        <w:rPr>
          <w:rFonts w:ascii="宋体" w:hAnsi="宋体" w:eastAsia="宋体"/>
          <w:b/>
          <w:spacing w:val="2"/>
          <w:sz w:val="44"/>
          <w:szCs w:val="44"/>
        </w:rPr>
      </w:pPr>
      <w:r>
        <w:rPr>
          <w:rFonts w:hint="eastAsia" w:ascii="宋体" w:hAnsi="宋体" w:eastAsia="宋体"/>
          <w:b/>
          <w:spacing w:val="2"/>
          <w:sz w:val="44"/>
          <w:szCs w:val="44"/>
        </w:rPr>
        <w:t>建设发展指引</w:t>
      </w:r>
    </w:p>
    <w:p>
      <w:pPr>
        <w:tabs>
          <w:tab w:val="left" w:pos="8580"/>
        </w:tabs>
        <w:snapToGrid w:val="0"/>
        <w:spacing w:line="640" w:lineRule="exact"/>
        <w:ind w:right="236"/>
        <w:jc w:val="center"/>
        <w:rPr>
          <w:rFonts w:ascii="楷体" w:hAnsi="楷体" w:eastAsia="楷体"/>
          <w:spacing w:val="2"/>
          <w:szCs w:val="32"/>
        </w:rPr>
      </w:pPr>
    </w:p>
    <w:p>
      <w:pPr>
        <w:tabs>
          <w:tab w:val="left" w:pos="8580"/>
        </w:tabs>
        <w:snapToGrid w:val="0"/>
        <w:spacing w:line="640" w:lineRule="exact"/>
        <w:ind w:right="236" w:firstLine="728" w:firstLineChars="200"/>
        <w:rPr>
          <w:rFonts w:ascii="仿宋" w:hAnsi="仿宋" w:eastAsia="仿宋"/>
          <w:spacing w:val="2"/>
          <w:sz w:val="36"/>
          <w:szCs w:val="36"/>
        </w:rPr>
      </w:pPr>
      <w:r>
        <w:rPr>
          <w:rFonts w:hint="eastAsia" w:ascii="仿宋" w:hAnsi="仿宋" w:eastAsia="仿宋"/>
          <w:spacing w:val="2"/>
          <w:sz w:val="36"/>
          <w:szCs w:val="36"/>
        </w:rPr>
        <w:t>为深入贯彻落实党的十九大和十九届二中、三中、四中、五中全会和省委十二届十四次全会精神，促进产学研深度融合，推动企业产学研用技术创新联盟发展，加快建立以企业为主体、市场为导向、产学研深度融合的技术创新体系，促进各类创新要素向企业集聚，支持企业涵养技术能力，推动建立产学研市场化利益联结机制。根据《中共中央关于制定国民经济和社会发展第十四个五年规划和二〇三五年远景目标的建议》、《中共辽宁省委关于制定辽宁省国民经济和社会发展第十四个五年规划和二〇三五年远景目标的建议》等文件</w:t>
      </w:r>
      <w:r>
        <w:rPr>
          <w:rFonts w:ascii="仿宋" w:hAnsi="仿宋" w:eastAsia="仿宋"/>
          <w:spacing w:val="2"/>
          <w:sz w:val="36"/>
          <w:szCs w:val="36"/>
        </w:rPr>
        <w:t>，现就</w:t>
      </w:r>
      <w:r>
        <w:rPr>
          <w:rFonts w:hint="eastAsia" w:ascii="仿宋" w:hAnsi="仿宋" w:eastAsia="仿宋"/>
          <w:spacing w:val="2"/>
          <w:sz w:val="36"/>
          <w:szCs w:val="36"/>
        </w:rPr>
        <w:t>推动企业产学研用技术创新联盟发展提出</w:t>
      </w:r>
      <w:r>
        <w:rPr>
          <w:rFonts w:ascii="仿宋" w:hAnsi="仿宋" w:eastAsia="仿宋"/>
          <w:spacing w:val="2"/>
          <w:sz w:val="36"/>
          <w:szCs w:val="36"/>
        </w:rPr>
        <w:t>如下</w:t>
      </w:r>
      <w:r>
        <w:rPr>
          <w:rFonts w:hint="eastAsia" w:ascii="仿宋" w:hAnsi="仿宋" w:eastAsia="仿宋"/>
          <w:spacing w:val="2"/>
          <w:sz w:val="36"/>
          <w:szCs w:val="36"/>
        </w:rPr>
        <w:t>指导</w:t>
      </w:r>
      <w:r>
        <w:rPr>
          <w:rFonts w:ascii="仿宋" w:hAnsi="仿宋" w:eastAsia="仿宋"/>
          <w:spacing w:val="2"/>
          <w:sz w:val="36"/>
          <w:szCs w:val="36"/>
        </w:rPr>
        <w:t>意见。</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第一条</w:t>
      </w:r>
      <w:r>
        <w:rPr>
          <w:rFonts w:hint="eastAsia" w:ascii="仿宋" w:hAnsi="仿宋" w:eastAsia="仿宋"/>
          <w:spacing w:val="2"/>
          <w:sz w:val="36"/>
          <w:szCs w:val="36"/>
        </w:rPr>
        <w:t xml:space="preserve"> </w:t>
      </w:r>
      <w:r>
        <w:rPr>
          <w:rFonts w:ascii="仿宋" w:hAnsi="仿宋" w:eastAsia="仿宋"/>
          <w:spacing w:val="2"/>
          <w:sz w:val="36"/>
          <w:szCs w:val="36"/>
        </w:rPr>
        <w:t xml:space="preserve"> </w:t>
      </w:r>
      <w:r>
        <w:rPr>
          <w:rFonts w:hint="eastAsia" w:ascii="仿宋" w:hAnsi="仿宋" w:eastAsia="仿宋"/>
          <w:spacing w:val="2"/>
          <w:sz w:val="36"/>
          <w:szCs w:val="36"/>
        </w:rPr>
        <w:t>企业产学研用技术创新联盟</w:t>
      </w:r>
      <w:r>
        <w:rPr>
          <w:rFonts w:ascii="仿宋" w:hAnsi="仿宋" w:eastAsia="仿宋"/>
          <w:spacing w:val="2"/>
          <w:sz w:val="36"/>
          <w:szCs w:val="36"/>
        </w:rPr>
        <w:t>（以下简称联盟）是指</w:t>
      </w:r>
      <w:r>
        <w:rPr>
          <w:rFonts w:hint="eastAsia" w:ascii="仿宋" w:hAnsi="仿宋" w:eastAsia="仿宋"/>
          <w:spacing w:val="2"/>
          <w:sz w:val="36"/>
          <w:szCs w:val="36"/>
        </w:rPr>
        <w:t>由骨干企业做“盟主”，通过契约关系，把产业链上中下游、大中小企业和高校、科研院所、科技服务机构、金融机构等联结成利益共同体，</w:t>
      </w:r>
      <w:r>
        <w:rPr>
          <w:rFonts w:ascii="仿宋" w:hAnsi="仿宋" w:eastAsia="仿宋"/>
          <w:spacing w:val="2"/>
          <w:sz w:val="36"/>
          <w:szCs w:val="36"/>
        </w:rPr>
        <w:t>以企业的发展需求和各方的共同利益为基础，以提升</w:t>
      </w:r>
      <w:r>
        <w:rPr>
          <w:rFonts w:hint="eastAsia" w:ascii="仿宋" w:hAnsi="仿宋" w:eastAsia="仿宋"/>
          <w:spacing w:val="2"/>
          <w:sz w:val="36"/>
          <w:szCs w:val="36"/>
        </w:rPr>
        <w:t>企业技术创新能力</w:t>
      </w:r>
      <w:r>
        <w:rPr>
          <w:rFonts w:ascii="仿宋" w:hAnsi="仿宋" w:eastAsia="仿宋"/>
          <w:spacing w:val="2"/>
          <w:sz w:val="36"/>
          <w:szCs w:val="36"/>
        </w:rPr>
        <w:t>为目标，以具有法律约束力的契约为保障，形成的联合开发、优势互补、利益共享、风险共担的创新联合体。</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 xml:space="preserve">第二条 </w:t>
      </w:r>
      <w:r>
        <w:rPr>
          <w:rFonts w:hint="eastAsia" w:ascii="仿宋" w:hAnsi="仿宋" w:eastAsia="仿宋"/>
          <w:spacing w:val="2"/>
          <w:sz w:val="36"/>
          <w:szCs w:val="36"/>
        </w:rPr>
        <w:t xml:space="preserve"> </w:t>
      </w:r>
      <w:r>
        <w:rPr>
          <w:rFonts w:ascii="仿宋" w:hAnsi="仿宋" w:eastAsia="仿宋"/>
          <w:spacing w:val="2"/>
          <w:sz w:val="36"/>
          <w:szCs w:val="36"/>
        </w:rPr>
        <w:t>联盟是</w:t>
      </w:r>
      <w:r>
        <w:rPr>
          <w:rFonts w:hint="eastAsia" w:ascii="仿宋" w:hAnsi="仿宋" w:eastAsia="仿宋"/>
          <w:spacing w:val="2"/>
          <w:sz w:val="36"/>
          <w:szCs w:val="36"/>
        </w:rPr>
        <w:t>强化企业创新主体地位</w:t>
      </w:r>
      <w:r>
        <w:rPr>
          <w:rFonts w:ascii="仿宋" w:hAnsi="仿宋" w:eastAsia="仿宋"/>
          <w:spacing w:val="2"/>
          <w:sz w:val="36"/>
          <w:szCs w:val="36"/>
        </w:rPr>
        <w:t>的重要载体。推动联盟</w:t>
      </w:r>
      <w:r>
        <w:rPr>
          <w:rFonts w:hint="eastAsia" w:ascii="仿宋" w:hAnsi="仿宋" w:eastAsia="仿宋"/>
          <w:spacing w:val="2"/>
          <w:sz w:val="36"/>
          <w:szCs w:val="36"/>
        </w:rPr>
        <w:t>发展</w:t>
      </w:r>
      <w:r>
        <w:rPr>
          <w:rFonts w:ascii="仿宋" w:hAnsi="仿宋" w:eastAsia="仿宋"/>
          <w:spacing w:val="2"/>
          <w:sz w:val="36"/>
          <w:szCs w:val="36"/>
        </w:rPr>
        <w:t>，是</w:t>
      </w:r>
      <w:r>
        <w:rPr>
          <w:rFonts w:hint="eastAsia" w:ascii="仿宋" w:hAnsi="仿宋" w:eastAsia="仿宋"/>
          <w:spacing w:val="2"/>
          <w:sz w:val="36"/>
          <w:szCs w:val="36"/>
        </w:rPr>
        <w:t>推动创新要素向企业集聚</w:t>
      </w:r>
      <w:r>
        <w:rPr>
          <w:rFonts w:ascii="仿宋" w:hAnsi="仿宋" w:eastAsia="仿宋"/>
          <w:spacing w:val="2"/>
          <w:sz w:val="36"/>
          <w:szCs w:val="36"/>
        </w:rPr>
        <w:t>，</w:t>
      </w:r>
      <w:r>
        <w:rPr>
          <w:rFonts w:hint="eastAsia" w:ascii="仿宋" w:hAnsi="仿宋" w:eastAsia="仿宋"/>
          <w:spacing w:val="2"/>
          <w:sz w:val="36"/>
          <w:szCs w:val="36"/>
        </w:rPr>
        <w:t>推动产业链上中下游、大中小企业融通创新</w:t>
      </w:r>
      <w:r>
        <w:rPr>
          <w:rFonts w:ascii="仿宋" w:hAnsi="仿宋" w:eastAsia="仿宋"/>
          <w:spacing w:val="2"/>
          <w:sz w:val="36"/>
          <w:szCs w:val="36"/>
        </w:rPr>
        <w:t>的迫切要求，是</w:t>
      </w:r>
      <w:r>
        <w:rPr>
          <w:rFonts w:hint="eastAsia" w:ascii="仿宋" w:hAnsi="仿宋" w:eastAsia="仿宋"/>
          <w:spacing w:val="2"/>
          <w:sz w:val="36"/>
          <w:szCs w:val="36"/>
        </w:rPr>
        <w:t>提升</w:t>
      </w:r>
      <w:r>
        <w:rPr>
          <w:rFonts w:ascii="仿宋" w:hAnsi="仿宋" w:eastAsia="仿宋"/>
          <w:spacing w:val="2"/>
          <w:sz w:val="36"/>
          <w:szCs w:val="36"/>
        </w:rPr>
        <w:t>企业涵养技术能力，</w:t>
      </w:r>
      <w:r>
        <w:rPr>
          <w:rFonts w:hint="eastAsia" w:ascii="仿宋" w:hAnsi="仿宋" w:eastAsia="仿宋"/>
          <w:spacing w:val="2"/>
          <w:sz w:val="36"/>
          <w:szCs w:val="36"/>
        </w:rPr>
        <w:t>发挥大企业引领支撑作用，支持创新型中小微企业成长为创新重要发源地</w:t>
      </w:r>
      <w:r>
        <w:rPr>
          <w:rFonts w:ascii="仿宋" w:hAnsi="仿宋" w:eastAsia="仿宋"/>
          <w:spacing w:val="2"/>
          <w:sz w:val="36"/>
          <w:szCs w:val="36"/>
        </w:rPr>
        <w:t>的有效途径。</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 xml:space="preserve">第三条 </w:t>
      </w:r>
      <w:r>
        <w:rPr>
          <w:rFonts w:hint="eastAsia" w:ascii="仿宋" w:hAnsi="仿宋" w:eastAsia="仿宋"/>
          <w:spacing w:val="2"/>
          <w:sz w:val="36"/>
          <w:szCs w:val="36"/>
        </w:rPr>
        <w:t xml:space="preserve"> </w:t>
      </w:r>
      <w:r>
        <w:rPr>
          <w:rFonts w:ascii="仿宋" w:hAnsi="仿宋" w:eastAsia="仿宋"/>
          <w:spacing w:val="2"/>
          <w:sz w:val="36"/>
          <w:szCs w:val="36"/>
        </w:rPr>
        <w:t>联盟的主要任务是</w:t>
      </w:r>
      <w:r>
        <w:rPr>
          <w:rFonts w:hint="eastAsia" w:ascii="仿宋" w:hAnsi="仿宋" w:eastAsia="仿宋"/>
          <w:spacing w:val="2"/>
          <w:sz w:val="36"/>
          <w:szCs w:val="36"/>
        </w:rPr>
        <w:t>产业链上中下游、大中小企业和高校、科研院所、科技服务机构、金融机构等根据市场需求开展技术创新和</w:t>
      </w:r>
      <w:r>
        <w:rPr>
          <w:rFonts w:ascii="仿宋" w:hAnsi="仿宋" w:eastAsia="仿宋"/>
          <w:spacing w:val="2"/>
          <w:sz w:val="36"/>
          <w:szCs w:val="36"/>
        </w:rPr>
        <w:t>技术合作，突破产业发展的核心技术，建立</w:t>
      </w:r>
      <w:r>
        <w:rPr>
          <w:rFonts w:hint="eastAsia" w:ascii="仿宋" w:hAnsi="仿宋" w:eastAsia="仿宋"/>
          <w:spacing w:val="2"/>
          <w:sz w:val="36"/>
          <w:szCs w:val="36"/>
        </w:rPr>
        <w:t>共性</w:t>
      </w:r>
      <w:r>
        <w:rPr>
          <w:rFonts w:ascii="仿宋" w:hAnsi="仿宋" w:eastAsia="仿宋"/>
          <w:spacing w:val="2"/>
          <w:sz w:val="36"/>
          <w:szCs w:val="36"/>
        </w:rPr>
        <w:t>技术平台，实现创新资源的有效分工与合理衔接，实行知识产权共享；实施技术转移，加速科技成果转化，提升产业整体竞争力；联合培养人才，加强人员的交流互动，</w:t>
      </w:r>
      <w:r>
        <w:rPr>
          <w:rFonts w:hint="eastAsia" w:ascii="仿宋" w:hAnsi="仿宋" w:eastAsia="仿宋"/>
          <w:spacing w:val="2"/>
          <w:sz w:val="36"/>
          <w:szCs w:val="36"/>
        </w:rPr>
        <w:t>着力构建政府围着企业转、企业围着市场转、创新围着需求转的良性循环。</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w:t>
      </w:r>
      <w:r>
        <w:rPr>
          <w:rFonts w:hint="eastAsia" w:ascii="仿宋" w:hAnsi="仿宋" w:eastAsia="仿宋"/>
          <w:spacing w:val="2"/>
          <w:sz w:val="36"/>
          <w:szCs w:val="36"/>
        </w:rPr>
        <w:t>四</w:t>
      </w:r>
      <w:r>
        <w:rPr>
          <w:rFonts w:ascii="仿宋" w:hAnsi="仿宋" w:eastAsia="仿宋"/>
          <w:spacing w:val="2"/>
          <w:sz w:val="36"/>
          <w:szCs w:val="36"/>
        </w:rPr>
        <w:t xml:space="preserve">条 </w:t>
      </w:r>
      <w:r>
        <w:rPr>
          <w:rFonts w:hint="eastAsia" w:ascii="仿宋" w:hAnsi="仿宋" w:eastAsia="仿宋"/>
          <w:spacing w:val="2"/>
          <w:sz w:val="36"/>
          <w:szCs w:val="36"/>
        </w:rPr>
        <w:t xml:space="preserve"> </w:t>
      </w:r>
      <w:r>
        <w:rPr>
          <w:rFonts w:ascii="仿宋" w:hAnsi="仿宋" w:eastAsia="仿宋"/>
          <w:spacing w:val="2"/>
          <w:sz w:val="36"/>
          <w:szCs w:val="36"/>
        </w:rPr>
        <w:t>联盟的构建重点聚焦改造升级</w:t>
      </w:r>
      <w:r>
        <w:rPr>
          <w:rFonts w:hint="eastAsia" w:ascii="仿宋" w:hAnsi="仿宋" w:eastAsia="仿宋"/>
          <w:spacing w:val="2"/>
          <w:sz w:val="36"/>
          <w:szCs w:val="36"/>
        </w:rPr>
        <w:t>“</w:t>
      </w:r>
      <w:r>
        <w:rPr>
          <w:rFonts w:ascii="仿宋" w:hAnsi="仿宋" w:eastAsia="仿宋"/>
          <w:spacing w:val="2"/>
          <w:sz w:val="36"/>
          <w:szCs w:val="36"/>
        </w:rPr>
        <w:t>老</w:t>
      </w:r>
      <w:r>
        <w:rPr>
          <w:rFonts w:hint="eastAsia" w:ascii="仿宋" w:hAnsi="仿宋" w:eastAsia="仿宋"/>
          <w:spacing w:val="2"/>
          <w:sz w:val="36"/>
          <w:szCs w:val="36"/>
        </w:rPr>
        <w:t>”</w:t>
      </w:r>
      <w:r>
        <w:rPr>
          <w:rFonts w:ascii="仿宋" w:hAnsi="仿宋" w:eastAsia="仿宋"/>
          <w:spacing w:val="2"/>
          <w:sz w:val="36"/>
          <w:szCs w:val="36"/>
        </w:rPr>
        <w:t>字号</w:t>
      </w:r>
      <w:r>
        <w:rPr>
          <w:rFonts w:hint="eastAsia" w:ascii="仿宋" w:hAnsi="仿宋" w:eastAsia="仿宋"/>
          <w:spacing w:val="2"/>
          <w:sz w:val="36"/>
          <w:szCs w:val="36"/>
        </w:rPr>
        <w:t>、深度开发“原”字号、培育壮大“新”字号结构调整三篇大文章，</w:t>
      </w:r>
      <w:r>
        <w:rPr>
          <w:rFonts w:ascii="仿宋" w:hAnsi="仿宋" w:eastAsia="仿宋"/>
          <w:spacing w:val="2"/>
          <w:sz w:val="36"/>
          <w:szCs w:val="36"/>
        </w:rPr>
        <w:t>以有</w:t>
      </w:r>
      <w:r>
        <w:rPr>
          <w:rFonts w:hint="eastAsia" w:ascii="仿宋" w:hAnsi="仿宋" w:eastAsia="仿宋"/>
          <w:spacing w:val="2"/>
          <w:sz w:val="36"/>
          <w:szCs w:val="36"/>
        </w:rPr>
        <w:t>助</w:t>
      </w:r>
      <w:r>
        <w:rPr>
          <w:rFonts w:ascii="仿宋" w:hAnsi="仿宋" w:eastAsia="仿宋"/>
          <w:spacing w:val="2"/>
          <w:sz w:val="36"/>
          <w:szCs w:val="36"/>
        </w:rPr>
        <w:t>于</w:t>
      </w:r>
      <w:r>
        <w:rPr>
          <w:rFonts w:hint="eastAsia" w:ascii="仿宋" w:hAnsi="仿宋" w:eastAsia="仿宋"/>
          <w:spacing w:val="2"/>
          <w:sz w:val="36"/>
          <w:szCs w:val="36"/>
        </w:rPr>
        <w:t>建设</w:t>
      </w:r>
      <w:r>
        <w:rPr>
          <w:rFonts w:ascii="仿宋" w:hAnsi="仿宋" w:eastAsia="仿宋"/>
          <w:spacing w:val="2"/>
          <w:sz w:val="36"/>
          <w:szCs w:val="36"/>
        </w:rPr>
        <w:t>数字辽宁</w:t>
      </w:r>
      <w:r>
        <w:rPr>
          <w:rFonts w:hint="eastAsia" w:ascii="仿宋" w:hAnsi="仿宋" w:eastAsia="仿宋"/>
          <w:spacing w:val="2"/>
          <w:sz w:val="36"/>
          <w:szCs w:val="36"/>
        </w:rPr>
        <w:t>、</w:t>
      </w:r>
      <w:r>
        <w:rPr>
          <w:rFonts w:ascii="仿宋" w:hAnsi="仿宋" w:eastAsia="仿宋"/>
          <w:spacing w:val="2"/>
          <w:sz w:val="36"/>
          <w:szCs w:val="36"/>
        </w:rPr>
        <w:t>智造强省的技术创新需求为导向，以提升</w:t>
      </w:r>
      <w:r>
        <w:rPr>
          <w:rFonts w:hint="eastAsia" w:ascii="仿宋" w:hAnsi="仿宋" w:eastAsia="仿宋"/>
          <w:spacing w:val="2"/>
          <w:sz w:val="36"/>
          <w:szCs w:val="36"/>
        </w:rPr>
        <w:t>企业技术创新能力</w:t>
      </w:r>
      <w:r>
        <w:rPr>
          <w:rFonts w:ascii="仿宋" w:hAnsi="仿宋" w:eastAsia="仿宋"/>
          <w:spacing w:val="2"/>
          <w:sz w:val="36"/>
          <w:szCs w:val="36"/>
        </w:rPr>
        <w:t>为目标，以企业为主体，</w:t>
      </w:r>
      <w:r>
        <w:rPr>
          <w:rFonts w:hint="eastAsia" w:ascii="仿宋" w:hAnsi="仿宋" w:eastAsia="仿宋"/>
          <w:spacing w:val="2"/>
          <w:sz w:val="36"/>
          <w:szCs w:val="36"/>
        </w:rPr>
        <w:t>围绕产业链部署创新链,围绕创新链布局产业链，</w:t>
      </w:r>
      <w:r>
        <w:rPr>
          <w:rFonts w:ascii="仿宋" w:hAnsi="仿宋" w:eastAsia="仿宋"/>
          <w:spacing w:val="2"/>
          <w:sz w:val="36"/>
          <w:szCs w:val="36"/>
        </w:rPr>
        <w:t>运用市场机制集聚创新资源，实现</w:t>
      </w:r>
      <w:r>
        <w:rPr>
          <w:rFonts w:hint="eastAsia" w:ascii="仿宋" w:hAnsi="仿宋" w:eastAsia="仿宋"/>
          <w:spacing w:val="2"/>
          <w:sz w:val="36"/>
          <w:szCs w:val="36"/>
        </w:rPr>
        <w:t>企业和高校、科研院所、科技服务机构、金融机构</w:t>
      </w:r>
      <w:r>
        <w:rPr>
          <w:rFonts w:ascii="仿宋" w:hAnsi="仿宋" w:eastAsia="仿宋"/>
          <w:spacing w:val="2"/>
          <w:sz w:val="36"/>
          <w:szCs w:val="36"/>
        </w:rPr>
        <w:t>等在战略层面有效结合，共同突破产业发展的技术瓶颈。</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w:t>
      </w:r>
      <w:r>
        <w:rPr>
          <w:rFonts w:hint="eastAsia" w:ascii="仿宋" w:hAnsi="仿宋" w:eastAsia="仿宋"/>
          <w:spacing w:val="2"/>
          <w:sz w:val="36"/>
          <w:szCs w:val="36"/>
        </w:rPr>
        <w:t>五</w:t>
      </w:r>
      <w:r>
        <w:rPr>
          <w:rFonts w:ascii="仿宋" w:hAnsi="仿宋" w:eastAsia="仿宋"/>
          <w:spacing w:val="2"/>
          <w:sz w:val="36"/>
          <w:szCs w:val="36"/>
        </w:rPr>
        <w:t xml:space="preserve">条 </w:t>
      </w:r>
      <w:r>
        <w:rPr>
          <w:rFonts w:hint="eastAsia" w:ascii="仿宋" w:hAnsi="仿宋" w:eastAsia="仿宋"/>
          <w:spacing w:val="2"/>
          <w:sz w:val="36"/>
          <w:szCs w:val="36"/>
        </w:rPr>
        <w:t xml:space="preserve"> </w:t>
      </w:r>
      <w:r>
        <w:rPr>
          <w:rFonts w:ascii="仿宋" w:hAnsi="仿宋" w:eastAsia="仿宋"/>
          <w:spacing w:val="2"/>
          <w:sz w:val="36"/>
          <w:szCs w:val="36"/>
        </w:rPr>
        <w:t>推动联盟构建要坚持以下基本原则。</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（一）遵循市场经济</w:t>
      </w:r>
      <w:r>
        <w:rPr>
          <w:rFonts w:hint="eastAsia" w:ascii="仿宋" w:hAnsi="仿宋" w:eastAsia="仿宋"/>
          <w:spacing w:val="2"/>
          <w:sz w:val="36"/>
          <w:szCs w:val="36"/>
        </w:rPr>
        <w:t>规律</w:t>
      </w:r>
      <w:r>
        <w:rPr>
          <w:rFonts w:ascii="仿宋" w:hAnsi="仿宋" w:eastAsia="仿宋"/>
          <w:spacing w:val="2"/>
          <w:sz w:val="36"/>
          <w:szCs w:val="36"/>
        </w:rPr>
        <w:t>。要立足于企业创新发展的内在要求和合作各方的共同利益，通过平等协商，在一定时期内，建立有法律效力的联盟契约，对联盟成员形成有效的行为约束和利益保护。</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（二）满足产业发展需求。要有利于掌握核心技术和自主知识产权，有利于引导创新要素向企业集聚，有利于形成产业</w:t>
      </w:r>
      <w:r>
        <w:rPr>
          <w:rFonts w:hint="eastAsia" w:ascii="仿宋" w:hAnsi="仿宋" w:eastAsia="仿宋"/>
          <w:spacing w:val="2"/>
          <w:sz w:val="36"/>
          <w:szCs w:val="36"/>
        </w:rPr>
        <w:t>链</w:t>
      </w:r>
      <w:r>
        <w:rPr>
          <w:rFonts w:ascii="仿宋" w:hAnsi="仿宋" w:eastAsia="仿宋"/>
          <w:spacing w:val="2"/>
          <w:sz w:val="36"/>
          <w:szCs w:val="36"/>
        </w:rPr>
        <w:t>和创新链，有利于促进</w:t>
      </w:r>
      <w:r>
        <w:rPr>
          <w:rFonts w:hint="eastAsia" w:ascii="仿宋" w:hAnsi="仿宋" w:eastAsia="仿宋"/>
          <w:spacing w:val="2"/>
          <w:sz w:val="36"/>
          <w:szCs w:val="36"/>
        </w:rPr>
        <w:t>优势</w:t>
      </w:r>
      <w:r>
        <w:rPr>
          <w:rFonts w:ascii="仿宋" w:hAnsi="仿宋" w:eastAsia="仿宋"/>
          <w:spacing w:val="2"/>
          <w:sz w:val="36"/>
          <w:szCs w:val="36"/>
        </w:rPr>
        <w:t>产业发展。</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w:t>
      </w:r>
      <w:r>
        <w:rPr>
          <w:rFonts w:hint="eastAsia" w:ascii="仿宋" w:hAnsi="仿宋" w:eastAsia="仿宋"/>
          <w:spacing w:val="2"/>
          <w:sz w:val="36"/>
          <w:szCs w:val="36"/>
        </w:rPr>
        <w:t>三</w:t>
      </w:r>
      <w:r>
        <w:rPr>
          <w:rFonts w:ascii="仿宋" w:hAnsi="仿宋" w:eastAsia="仿宋"/>
          <w:spacing w:val="2"/>
          <w:sz w:val="36"/>
          <w:szCs w:val="36"/>
        </w:rPr>
        <w:t>）发挥政府引导作用。要创新政府管理方式，发挥协调引导作用，营造有利的政策环境，围绕辽宁经济社会发展的迫切要求推动重点领域联盟的构建。</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w:t>
      </w:r>
      <w:r>
        <w:rPr>
          <w:rFonts w:hint="eastAsia" w:ascii="仿宋" w:hAnsi="仿宋" w:eastAsia="仿宋"/>
          <w:spacing w:val="2"/>
          <w:sz w:val="36"/>
          <w:szCs w:val="36"/>
        </w:rPr>
        <w:t>六</w:t>
      </w:r>
      <w:r>
        <w:rPr>
          <w:rFonts w:ascii="仿宋" w:hAnsi="仿宋" w:eastAsia="仿宋"/>
          <w:spacing w:val="2"/>
          <w:sz w:val="36"/>
          <w:szCs w:val="36"/>
        </w:rPr>
        <w:t>条  联盟成立应当符合以下基本条件。</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（一）要由</w:t>
      </w:r>
      <w:r>
        <w:rPr>
          <w:rFonts w:hint="eastAsia" w:ascii="仿宋" w:hAnsi="仿宋" w:eastAsia="仿宋"/>
          <w:spacing w:val="2"/>
          <w:sz w:val="36"/>
          <w:szCs w:val="36"/>
        </w:rPr>
        <w:t>企业和高校、科研院所、科技服务机构、金融机构等</w:t>
      </w:r>
      <w:r>
        <w:rPr>
          <w:rFonts w:ascii="仿宋" w:hAnsi="仿宋" w:eastAsia="仿宋"/>
          <w:spacing w:val="2"/>
          <w:sz w:val="36"/>
          <w:szCs w:val="36"/>
        </w:rPr>
        <w:t>多个独立法人组成。企业应处于行业骨干地位；</w:t>
      </w:r>
      <w:r>
        <w:rPr>
          <w:rFonts w:hint="eastAsia" w:ascii="仿宋" w:hAnsi="仿宋" w:eastAsia="仿宋"/>
          <w:spacing w:val="2"/>
          <w:sz w:val="36"/>
          <w:szCs w:val="36"/>
        </w:rPr>
        <w:t>高校、科研院所</w:t>
      </w:r>
      <w:r>
        <w:rPr>
          <w:rFonts w:ascii="仿宋" w:hAnsi="仿宋" w:eastAsia="仿宋"/>
          <w:spacing w:val="2"/>
          <w:sz w:val="36"/>
          <w:szCs w:val="36"/>
        </w:rPr>
        <w:t>在合作的技术领域具有前沿水平；</w:t>
      </w:r>
      <w:r>
        <w:rPr>
          <w:rFonts w:hint="eastAsia" w:ascii="仿宋" w:hAnsi="仿宋" w:eastAsia="仿宋"/>
          <w:spacing w:val="2"/>
          <w:sz w:val="36"/>
          <w:szCs w:val="36"/>
        </w:rPr>
        <w:t>科技服务机构、金融机构等</w:t>
      </w:r>
      <w:r>
        <w:rPr>
          <w:rFonts w:ascii="仿宋" w:hAnsi="仿宋" w:eastAsia="仿宋"/>
          <w:spacing w:val="2"/>
          <w:sz w:val="36"/>
          <w:szCs w:val="36"/>
        </w:rPr>
        <w:t>可根据联盟技术创新的需要作为成员发挥积极的作用。</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（二）要有具有法律约束力的联盟协议，协议中有明确的技术创新目标，落实成员单位之间的任务分工。联盟协议必须由成员单位法定代表人共同签署生效。</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（三）要设立决策、咨询和执行等组织机构，建立有效的决策与执行机制，明确联盟对外承担责任的主体。联盟执行机构应配备专职人员，负责有关日常事务。</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四）要健全经费管理制度。对联盟经费要制定相应的内部管理办法，并建立经费使用的内部监督机制。联盟可委托常设机构的依托单位管理联盟经费，政府资助经费的使用要按照相关规定执行，并接受有关部门的监督。</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（五）要建立利益保障机制。联盟研发项目产生的成果和知识产权应事先通过协议明确权利归属、许可使用和转化收益分配的办法，要强化违约责任追究，保护联盟成员的合法权益。</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（六）要建立开放发展机制。要根据发展需要及时吸收新成员，并积极开展与外部组织的交流与合作。联盟要建立成果扩散机制，对承担政府资助项目形成的成果有向联盟外扩散的义务。</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w:t>
      </w:r>
      <w:r>
        <w:rPr>
          <w:rFonts w:hint="eastAsia" w:ascii="仿宋" w:hAnsi="仿宋" w:eastAsia="仿宋"/>
          <w:spacing w:val="2"/>
          <w:sz w:val="36"/>
          <w:szCs w:val="36"/>
        </w:rPr>
        <w:t>七</w:t>
      </w:r>
      <w:r>
        <w:rPr>
          <w:rFonts w:ascii="仿宋" w:hAnsi="仿宋" w:eastAsia="仿宋"/>
          <w:spacing w:val="2"/>
          <w:sz w:val="36"/>
          <w:szCs w:val="36"/>
        </w:rPr>
        <w:t xml:space="preserve">条 </w:t>
      </w:r>
      <w:r>
        <w:rPr>
          <w:rFonts w:hint="eastAsia" w:ascii="仿宋" w:hAnsi="仿宋" w:eastAsia="仿宋"/>
          <w:spacing w:val="2"/>
          <w:sz w:val="36"/>
          <w:szCs w:val="36"/>
        </w:rPr>
        <w:t xml:space="preserve"> </w:t>
      </w:r>
      <w:r>
        <w:rPr>
          <w:rFonts w:ascii="仿宋" w:hAnsi="仿宋" w:eastAsia="仿宋"/>
          <w:spacing w:val="2"/>
          <w:sz w:val="36"/>
          <w:szCs w:val="36"/>
        </w:rPr>
        <w:t>鼓励</w:t>
      </w:r>
      <w:r>
        <w:rPr>
          <w:rFonts w:hint="eastAsia" w:ascii="仿宋" w:hAnsi="仿宋" w:eastAsia="仿宋"/>
          <w:spacing w:val="2"/>
          <w:sz w:val="36"/>
          <w:szCs w:val="36"/>
        </w:rPr>
        <w:t>企业和高校、科研院所、科技服务机构、金融机构等</w:t>
      </w:r>
      <w:r>
        <w:rPr>
          <w:rFonts w:ascii="仿宋" w:hAnsi="仿宋" w:eastAsia="仿宋"/>
          <w:spacing w:val="2"/>
          <w:sz w:val="36"/>
          <w:szCs w:val="36"/>
        </w:rPr>
        <w:t>，从</w:t>
      </w:r>
      <w:r>
        <w:rPr>
          <w:rFonts w:hint="eastAsia" w:ascii="仿宋" w:hAnsi="仿宋" w:eastAsia="仿宋"/>
          <w:spacing w:val="2"/>
          <w:sz w:val="36"/>
          <w:szCs w:val="36"/>
        </w:rPr>
        <w:t>市场需求</w:t>
      </w:r>
      <w:r>
        <w:rPr>
          <w:rFonts w:ascii="仿宋" w:hAnsi="仿宋" w:eastAsia="仿宋"/>
          <w:spacing w:val="2"/>
          <w:sz w:val="36"/>
          <w:szCs w:val="36"/>
        </w:rPr>
        <w:t>出发，遵循市场经济规则，积极构建联盟，探索多种长效稳定的产学研合作机制。</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w:t>
      </w:r>
      <w:r>
        <w:rPr>
          <w:rFonts w:hint="eastAsia" w:ascii="仿宋" w:hAnsi="仿宋" w:eastAsia="仿宋"/>
          <w:spacing w:val="2"/>
          <w:sz w:val="36"/>
          <w:szCs w:val="36"/>
        </w:rPr>
        <w:t>八</w:t>
      </w:r>
      <w:r>
        <w:rPr>
          <w:rFonts w:ascii="仿宋" w:hAnsi="仿宋" w:eastAsia="仿宋"/>
          <w:spacing w:val="2"/>
          <w:sz w:val="36"/>
          <w:szCs w:val="36"/>
        </w:rPr>
        <w:t>条</w:t>
      </w:r>
      <w:r>
        <w:rPr>
          <w:rFonts w:hint="eastAsia" w:ascii="仿宋" w:hAnsi="仿宋" w:eastAsia="仿宋"/>
          <w:spacing w:val="2"/>
          <w:sz w:val="36"/>
          <w:szCs w:val="36"/>
        </w:rPr>
        <w:t xml:space="preserve">  省科技厅择优</w:t>
      </w:r>
      <w:r>
        <w:rPr>
          <w:rFonts w:ascii="仿宋" w:hAnsi="仿宋" w:eastAsia="仿宋"/>
          <w:spacing w:val="2"/>
          <w:sz w:val="36"/>
          <w:szCs w:val="36"/>
        </w:rPr>
        <w:t>选择一批联盟开展</w:t>
      </w:r>
      <w:r>
        <w:rPr>
          <w:rFonts w:hint="eastAsia" w:ascii="仿宋" w:hAnsi="仿宋" w:eastAsia="仿宋"/>
          <w:spacing w:val="2"/>
          <w:sz w:val="36"/>
          <w:szCs w:val="36"/>
        </w:rPr>
        <w:t>示范</w:t>
      </w:r>
      <w:r>
        <w:rPr>
          <w:rFonts w:ascii="仿宋" w:hAnsi="仿宋" w:eastAsia="仿宋"/>
          <w:spacing w:val="2"/>
          <w:sz w:val="36"/>
          <w:szCs w:val="36"/>
        </w:rPr>
        <w:t>工作，积极探索联盟运行及产学研合作的新机制和新模式。</w:t>
      </w:r>
      <w:r>
        <w:rPr>
          <w:rFonts w:hint="eastAsia" w:ascii="仿宋" w:hAnsi="仿宋" w:eastAsia="仿宋"/>
          <w:spacing w:val="2"/>
          <w:sz w:val="36"/>
          <w:szCs w:val="36"/>
        </w:rPr>
        <w:t>鼓励和支持联盟在组织模式、运行机制、发挥行业作用、承担重大创新任务、落实创新政策等方面先试先行。充分调动和发挥联盟各方的优势和积极性，为更多联盟的建立和发展创造经验。</w:t>
      </w:r>
    </w:p>
    <w:p>
      <w:pPr>
        <w:adjustRightInd w:val="0"/>
        <w:snapToGrid w:val="0"/>
        <w:spacing w:line="640" w:lineRule="exact"/>
        <w:ind w:firstLine="728" w:firstLineChars="200"/>
        <w:rPr>
          <w:rFonts w:ascii="仿宋" w:hAnsi="仿宋" w:eastAsia="仿宋"/>
          <w:spacing w:val="2"/>
          <w:sz w:val="36"/>
          <w:szCs w:val="36"/>
        </w:rPr>
      </w:pPr>
      <w:r>
        <w:rPr>
          <w:rFonts w:ascii="仿宋" w:hAnsi="仿宋" w:eastAsia="仿宋"/>
          <w:spacing w:val="2"/>
          <w:sz w:val="36"/>
          <w:szCs w:val="36"/>
        </w:rPr>
        <w:t>第</w:t>
      </w:r>
      <w:r>
        <w:rPr>
          <w:rFonts w:hint="eastAsia" w:ascii="仿宋" w:hAnsi="仿宋" w:eastAsia="仿宋"/>
          <w:spacing w:val="2"/>
          <w:sz w:val="36"/>
          <w:szCs w:val="36"/>
        </w:rPr>
        <w:t>九</w:t>
      </w:r>
      <w:r>
        <w:rPr>
          <w:rFonts w:ascii="仿宋" w:hAnsi="仿宋" w:eastAsia="仿宋"/>
          <w:spacing w:val="2"/>
          <w:sz w:val="36"/>
          <w:szCs w:val="36"/>
        </w:rPr>
        <w:t>条</w:t>
      </w:r>
      <w:r>
        <w:rPr>
          <w:rFonts w:hint="eastAsia" w:ascii="仿宋" w:hAnsi="仿宋" w:eastAsia="仿宋"/>
          <w:spacing w:val="2"/>
          <w:sz w:val="36"/>
          <w:szCs w:val="36"/>
        </w:rPr>
        <w:t xml:space="preserve">  积极探索支持联盟构建和发展的有效措施。鼓励企业加大研发投入，落实企业基础研究投入税收优惠政策，引导形成产学研深度融合的长效机制。发挥大企业支撑引领作用，同等条件下，优先支持联盟的盟主单位和主要成员单位联合承担省科技重大专项、重点研发计划等省级科技计划，突破一批重点领域关键核心技术。围绕联盟建设一批科技创新平台特别是共性技术平台，支持企业涵养技术能力，提升创新链整体效能。积极将联盟成员合作成立的科技型企业纳入科技型企业梯度培育计划，培育一批“雏鹰”“瞪羚”“独角兽”和领军企业。</w:t>
      </w:r>
    </w:p>
    <w:p>
      <w:pPr>
        <w:adjustRightInd w:val="0"/>
        <w:snapToGrid w:val="0"/>
        <w:spacing w:line="640" w:lineRule="exact"/>
        <w:ind w:firstLine="728" w:firstLineChars="200"/>
        <w:rPr>
          <w:rFonts w:ascii="仿宋_GB2312" w:hAnsi="Times New Roman" w:eastAsia="仿宋" w:cs="Times New Roman"/>
          <w:sz w:val="32"/>
          <w:szCs w:val="32"/>
        </w:rPr>
      </w:pPr>
      <w:r>
        <w:rPr>
          <w:rFonts w:ascii="仿宋" w:hAnsi="仿宋" w:eastAsia="仿宋"/>
          <w:spacing w:val="2"/>
          <w:sz w:val="36"/>
          <w:szCs w:val="36"/>
        </w:rPr>
        <w:t>第</w:t>
      </w:r>
      <w:r>
        <w:rPr>
          <w:rFonts w:hint="eastAsia" w:ascii="仿宋" w:hAnsi="仿宋" w:eastAsia="仿宋"/>
          <w:spacing w:val="2"/>
          <w:sz w:val="36"/>
          <w:szCs w:val="36"/>
        </w:rPr>
        <w:t>十</w:t>
      </w:r>
      <w:r>
        <w:rPr>
          <w:rFonts w:ascii="仿宋" w:hAnsi="仿宋" w:eastAsia="仿宋"/>
          <w:spacing w:val="2"/>
          <w:sz w:val="36"/>
          <w:szCs w:val="36"/>
        </w:rPr>
        <w:t>条</w:t>
      </w:r>
      <w:r>
        <w:rPr>
          <w:rFonts w:hint="eastAsia" w:ascii="仿宋" w:hAnsi="仿宋" w:eastAsia="仿宋"/>
          <w:spacing w:val="2"/>
          <w:sz w:val="36"/>
          <w:szCs w:val="36"/>
        </w:rPr>
        <w:t xml:space="preserve">  各地区、各单位要把推动联盟建设作为促进产学研深度融合，加快建立以企业为主体、市场为导向、产学研深度融合的技术创新体系的紧迫任务。紧紧围绕本地经济发展规划，推动联盟构建，促进高水平创新型省份建设取得重要进展。</w:t>
      </w:r>
      <w:bookmarkStart w:id="0" w:name="_GoBack"/>
      <w:bookmarkEnd w:id="0"/>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仿宋_GBK">
    <w:altName w:val="Arial Unicode MS"/>
    <w:panose1 w:val="00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evenAndOddHeaders w:val="1"/>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120C"/>
    <w:rsid w:val="00002F0E"/>
    <w:rsid w:val="00003E06"/>
    <w:rsid w:val="00006D0F"/>
    <w:rsid w:val="00027C79"/>
    <w:rsid w:val="00027EF4"/>
    <w:rsid w:val="000309E1"/>
    <w:rsid w:val="00034506"/>
    <w:rsid w:val="000437A2"/>
    <w:rsid w:val="00047927"/>
    <w:rsid w:val="00056921"/>
    <w:rsid w:val="0006106D"/>
    <w:rsid w:val="00075466"/>
    <w:rsid w:val="00077460"/>
    <w:rsid w:val="000833A3"/>
    <w:rsid w:val="00085AFE"/>
    <w:rsid w:val="00086B89"/>
    <w:rsid w:val="00086C6B"/>
    <w:rsid w:val="00087433"/>
    <w:rsid w:val="00090070"/>
    <w:rsid w:val="0009272C"/>
    <w:rsid w:val="000927CA"/>
    <w:rsid w:val="00095BE7"/>
    <w:rsid w:val="000A138E"/>
    <w:rsid w:val="000A7A91"/>
    <w:rsid w:val="000D0A75"/>
    <w:rsid w:val="000D4944"/>
    <w:rsid w:val="000D4A00"/>
    <w:rsid w:val="000D5D75"/>
    <w:rsid w:val="000D6D34"/>
    <w:rsid w:val="000F473E"/>
    <w:rsid w:val="000F7710"/>
    <w:rsid w:val="00107F4E"/>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4249C"/>
    <w:rsid w:val="0025128F"/>
    <w:rsid w:val="00252444"/>
    <w:rsid w:val="00254371"/>
    <w:rsid w:val="00255A3C"/>
    <w:rsid w:val="00256126"/>
    <w:rsid w:val="00264A7A"/>
    <w:rsid w:val="00273608"/>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16523"/>
    <w:rsid w:val="0032477E"/>
    <w:rsid w:val="00326AFB"/>
    <w:rsid w:val="0033778E"/>
    <w:rsid w:val="003407A4"/>
    <w:rsid w:val="003518DD"/>
    <w:rsid w:val="00355A26"/>
    <w:rsid w:val="0036102F"/>
    <w:rsid w:val="00372811"/>
    <w:rsid w:val="003848DE"/>
    <w:rsid w:val="003A0BE0"/>
    <w:rsid w:val="003A6DC4"/>
    <w:rsid w:val="003A7184"/>
    <w:rsid w:val="003B6E62"/>
    <w:rsid w:val="003B7205"/>
    <w:rsid w:val="003C1CC5"/>
    <w:rsid w:val="003C7632"/>
    <w:rsid w:val="003E0389"/>
    <w:rsid w:val="003E521A"/>
    <w:rsid w:val="004148AC"/>
    <w:rsid w:val="00415DAD"/>
    <w:rsid w:val="00424BB8"/>
    <w:rsid w:val="00426670"/>
    <w:rsid w:val="004416EB"/>
    <w:rsid w:val="004476D8"/>
    <w:rsid w:val="00466045"/>
    <w:rsid w:val="00466AD7"/>
    <w:rsid w:val="00473BD4"/>
    <w:rsid w:val="004A3D3F"/>
    <w:rsid w:val="004B70D8"/>
    <w:rsid w:val="004C5128"/>
    <w:rsid w:val="004C7C69"/>
    <w:rsid w:val="004D578D"/>
    <w:rsid w:val="004E31CF"/>
    <w:rsid w:val="004E62C2"/>
    <w:rsid w:val="0053588E"/>
    <w:rsid w:val="00541597"/>
    <w:rsid w:val="00542131"/>
    <w:rsid w:val="005454B3"/>
    <w:rsid w:val="005468A5"/>
    <w:rsid w:val="0055276D"/>
    <w:rsid w:val="0055375F"/>
    <w:rsid w:val="0055433C"/>
    <w:rsid w:val="00555D41"/>
    <w:rsid w:val="005641A1"/>
    <w:rsid w:val="0057400A"/>
    <w:rsid w:val="005753AB"/>
    <w:rsid w:val="0057715A"/>
    <w:rsid w:val="005846E2"/>
    <w:rsid w:val="0058535E"/>
    <w:rsid w:val="00587AD6"/>
    <w:rsid w:val="00593AC0"/>
    <w:rsid w:val="00596CEE"/>
    <w:rsid w:val="005B0B5D"/>
    <w:rsid w:val="005B1791"/>
    <w:rsid w:val="005B7167"/>
    <w:rsid w:val="005C45B6"/>
    <w:rsid w:val="005E3157"/>
    <w:rsid w:val="005E57E9"/>
    <w:rsid w:val="005E6FA0"/>
    <w:rsid w:val="005F4FBE"/>
    <w:rsid w:val="005F5746"/>
    <w:rsid w:val="0060202F"/>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96622"/>
    <w:rsid w:val="006A0BF1"/>
    <w:rsid w:val="006A39A9"/>
    <w:rsid w:val="006A4721"/>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D32"/>
    <w:rsid w:val="00865E73"/>
    <w:rsid w:val="0087623A"/>
    <w:rsid w:val="00883319"/>
    <w:rsid w:val="00890BC1"/>
    <w:rsid w:val="008A060C"/>
    <w:rsid w:val="008A6653"/>
    <w:rsid w:val="008B6B23"/>
    <w:rsid w:val="008C0606"/>
    <w:rsid w:val="008C08A6"/>
    <w:rsid w:val="008C4800"/>
    <w:rsid w:val="008C6C6F"/>
    <w:rsid w:val="008D1D56"/>
    <w:rsid w:val="008D6DD7"/>
    <w:rsid w:val="009009A2"/>
    <w:rsid w:val="00901B00"/>
    <w:rsid w:val="009070B1"/>
    <w:rsid w:val="00920E55"/>
    <w:rsid w:val="00921330"/>
    <w:rsid w:val="00921BE4"/>
    <w:rsid w:val="00924082"/>
    <w:rsid w:val="00937E5C"/>
    <w:rsid w:val="00941FF3"/>
    <w:rsid w:val="00942858"/>
    <w:rsid w:val="009432F2"/>
    <w:rsid w:val="00944A74"/>
    <w:rsid w:val="00951BB1"/>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03F25"/>
    <w:rsid w:val="00A12EFF"/>
    <w:rsid w:val="00A13809"/>
    <w:rsid w:val="00A21900"/>
    <w:rsid w:val="00A2337D"/>
    <w:rsid w:val="00A43B31"/>
    <w:rsid w:val="00A46E6C"/>
    <w:rsid w:val="00A52507"/>
    <w:rsid w:val="00A571BB"/>
    <w:rsid w:val="00A573D9"/>
    <w:rsid w:val="00A736EB"/>
    <w:rsid w:val="00A94FE8"/>
    <w:rsid w:val="00AA1517"/>
    <w:rsid w:val="00AA358C"/>
    <w:rsid w:val="00AA3B6B"/>
    <w:rsid w:val="00AA6BB4"/>
    <w:rsid w:val="00AB1D7B"/>
    <w:rsid w:val="00AB52DE"/>
    <w:rsid w:val="00AC3869"/>
    <w:rsid w:val="00AC66B8"/>
    <w:rsid w:val="00AE0158"/>
    <w:rsid w:val="00AE0627"/>
    <w:rsid w:val="00AE2650"/>
    <w:rsid w:val="00AF1418"/>
    <w:rsid w:val="00AF370A"/>
    <w:rsid w:val="00AF63A2"/>
    <w:rsid w:val="00B00B57"/>
    <w:rsid w:val="00B0170B"/>
    <w:rsid w:val="00B17CCF"/>
    <w:rsid w:val="00B17E3D"/>
    <w:rsid w:val="00B217F6"/>
    <w:rsid w:val="00B23D84"/>
    <w:rsid w:val="00B27172"/>
    <w:rsid w:val="00B439E5"/>
    <w:rsid w:val="00B459AD"/>
    <w:rsid w:val="00B4668E"/>
    <w:rsid w:val="00B50946"/>
    <w:rsid w:val="00B56BB2"/>
    <w:rsid w:val="00B633CD"/>
    <w:rsid w:val="00B709CD"/>
    <w:rsid w:val="00B71E2F"/>
    <w:rsid w:val="00B729C3"/>
    <w:rsid w:val="00B758E2"/>
    <w:rsid w:val="00B843C6"/>
    <w:rsid w:val="00B9633D"/>
    <w:rsid w:val="00B96584"/>
    <w:rsid w:val="00B97DE0"/>
    <w:rsid w:val="00BA3B4D"/>
    <w:rsid w:val="00BB577A"/>
    <w:rsid w:val="00BB5CD2"/>
    <w:rsid w:val="00BC0EE3"/>
    <w:rsid w:val="00BC2416"/>
    <w:rsid w:val="00BD630E"/>
    <w:rsid w:val="00BE080E"/>
    <w:rsid w:val="00BE506D"/>
    <w:rsid w:val="00BE69D1"/>
    <w:rsid w:val="00BF287F"/>
    <w:rsid w:val="00C0192B"/>
    <w:rsid w:val="00C03A3F"/>
    <w:rsid w:val="00C12273"/>
    <w:rsid w:val="00C14CBE"/>
    <w:rsid w:val="00C251AC"/>
    <w:rsid w:val="00C4025A"/>
    <w:rsid w:val="00C44345"/>
    <w:rsid w:val="00C452BD"/>
    <w:rsid w:val="00C62647"/>
    <w:rsid w:val="00C67953"/>
    <w:rsid w:val="00C6796F"/>
    <w:rsid w:val="00C701F8"/>
    <w:rsid w:val="00C7540B"/>
    <w:rsid w:val="00C768F7"/>
    <w:rsid w:val="00C82003"/>
    <w:rsid w:val="00CA3CFC"/>
    <w:rsid w:val="00CB34DA"/>
    <w:rsid w:val="00CB51DD"/>
    <w:rsid w:val="00CC12C4"/>
    <w:rsid w:val="00CC7E7F"/>
    <w:rsid w:val="00CD0F91"/>
    <w:rsid w:val="00CD3E4E"/>
    <w:rsid w:val="00CE0947"/>
    <w:rsid w:val="00CE1720"/>
    <w:rsid w:val="00CE414C"/>
    <w:rsid w:val="00CE5C3D"/>
    <w:rsid w:val="00CF384C"/>
    <w:rsid w:val="00CF6B90"/>
    <w:rsid w:val="00D04DAF"/>
    <w:rsid w:val="00D12C66"/>
    <w:rsid w:val="00D2748C"/>
    <w:rsid w:val="00D314B9"/>
    <w:rsid w:val="00D3172D"/>
    <w:rsid w:val="00D3260C"/>
    <w:rsid w:val="00D407F0"/>
    <w:rsid w:val="00D41B77"/>
    <w:rsid w:val="00D523E3"/>
    <w:rsid w:val="00D567B3"/>
    <w:rsid w:val="00D63703"/>
    <w:rsid w:val="00D63D0F"/>
    <w:rsid w:val="00D66752"/>
    <w:rsid w:val="00D72AB5"/>
    <w:rsid w:val="00D815C1"/>
    <w:rsid w:val="00D86F30"/>
    <w:rsid w:val="00D911CE"/>
    <w:rsid w:val="00D917B2"/>
    <w:rsid w:val="00D97C51"/>
    <w:rsid w:val="00DA0737"/>
    <w:rsid w:val="00DA306D"/>
    <w:rsid w:val="00DA362F"/>
    <w:rsid w:val="00DB0DEE"/>
    <w:rsid w:val="00DB4CA9"/>
    <w:rsid w:val="00DC0AE8"/>
    <w:rsid w:val="00DC295F"/>
    <w:rsid w:val="00DC4833"/>
    <w:rsid w:val="00DC594B"/>
    <w:rsid w:val="00DD281B"/>
    <w:rsid w:val="00DD2AE1"/>
    <w:rsid w:val="00DD5C69"/>
    <w:rsid w:val="00DD7ED0"/>
    <w:rsid w:val="00DE5853"/>
    <w:rsid w:val="00DE62BA"/>
    <w:rsid w:val="00DE795D"/>
    <w:rsid w:val="00E00BAB"/>
    <w:rsid w:val="00E070F4"/>
    <w:rsid w:val="00E076A0"/>
    <w:rsid w:val="00E25933"/>
    <w:rsid w:val="00E3459E"/>
    <w:rsid w:val="00E422D3"/>
    <w:rsid w:val="00E43CA2"/>
    <w:rsid w:val="00E47FEC"/>
    <w:rsid w:val="00E5402A"/>
    <w:rsid w:val="00E563D4"/>
    <w:rsid w:val="00E60D64"/>
    <w:rsid w:val="00E66B3D"/>
    <w:rsid w:val="00E73102"/>
    <w:rsid w:val="00E751C7"/>
    <w:rsid w:val="00E8069E"/>
    <w:rsid w:val="00E8210F"/>
    <w:rsid w:val="00E86F2A"/>
    <w:rsid w:val="00EA06D3"/>
    <w:rsid w:val="00EB2EE6"/>
    <w:rsid w:val="00EC4080"/>
    <w:rsid w:val="00EE00AB"/>
    <w:rsid w:val="00EE3B1A"/>
    <w:rsid w:val="00EF1FB6"/>
    <w:rsid w:val="00EF69A7"/>
    <w:rsid w:val="00F01309"/>
    <w:rsid w:val="00F01DB0"/>
    <w:rsid w:val="00F054DA"/>
    <w:rsid w:val="00F07FCC"/>
    <w:rsid w:val="00F12DED"/>
    <w:rsid w:val="00F20100"/>
    <w:rsid w:val="00F26583"/>
    <w:rsid w:val="00F4009C"/>
    <w:rsid w:val="00F4021A"/>
    <w:rsid w:val="00F45387"/>
    <w:rsid w:val="00F615E1"/>
    <w:rsid w:val="00F7240E"/>
    <w:rsid w:val="00F81B6D"/>
    <w:rsid w:val="00F875FF"/>
    <w:rsid w:val="00F964EB"/>
    <w:rsid w:val="00FA0C1C"/>
    <w:rsid w:val="00FA3CCC"/>
    <w:rsid w:val="00FA4926"/>
    <w:rsid w:val="00FA5859"/>
    <w:rsid w:val="00FA7A3A"/>
    <w:rsid w:val="00FB20D0"/>
    <w:rsid w:val="00FB3057"/>
    <w:rsid w:val="00FB5C58"/>
    <w:rsid w:val="00FC2E95"/>
    <w:rsid w:val="00FC32FC"/>
    <w:rsid w:val="00FC7FDC"/>
    <w:rsid w:val="00FD4A6B"/>
    <w:rsid w:val="00FE0914"/>
    <w:rsid w:val="00FE27AC"/>
    <w:rsid w:val="00FE52D0"/>
    <w:rsid w:val="00FE55FF"/>
    <w:rsid w:val="00FE5922"/>
    <w:rsid w:val="21E12305"/>
    <w:rsid w:val="4D7943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3">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4">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5">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6">
    <w:name w:val="heading 5"/>
    <w:basedOn w:val="1"/>
    <w:next w:val="1"/>
    <w:link w:val="54"/>
    <w:unhideWhenUsed/>
    <w:qFormat/>
    <w:uiPriority w:val="9"/>
    <w:pPr>
      <w:keepNext/>
      <w:keepLines/>
      <w:jc w:val="center"/>
      <w:outlineLvl w:val="4"/>
    </w:pPr>
    <w:rPr>
      <w:rFonts w:eastAsia="仿宋_GB2312"/>
      <w:b/>
      <w:bCs/>
      <w:sz w:val="28"/>
      <w:szCs w:val="28"/>
    </w:rPr>
  </w:style>
  <w:style w:type="paragraph" w:styleId="7">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43"/>
    <w:unhideWhenUsed/>
    <w:qFormat/>
    <w:uiPriority w:val="99"/>
    <w:rPr>
      <w:rFonts w:ascii="宋体" w:eastAsia="宋体"/>
      <w:sz w:val="18"/>
      <w:szCs w:val="18"/>
    </w:rPr>
  </w:style>
  <w:style w:type="paragraph" w:styleId="9">
    <w:name w:val="annotation text"/>
    <w:basedOn w:val="1"/>
    <w:link w:val="61"/>
    <w:unhideWhenUsed/>
    <w:qFormat/>
    <w:uiPriority w:val="99"/>
    <w:pPr>
      <w:ind w:firstLine="200" w:firstLineChars="200"/>
      <w:jc w:val="left"/>
    </w:pPr>
    <w:rPr>
      <w:rFonts w:eastAsia="仿宋_GB2312"/>
      <w:sz w:val="30"/>
    </w:rPr>
  </w:style>
  <w:style w:type="paragraph" w:styleId="10">
    <w:name w:val="Body Text"/>
    <w:basedOn w:val="1"/>
    <w:link w:val="106"/>
    <w:semiHidden/>
    <w:unhideWhenUsed/>
    <w:qFormat/>
    <w:uiPriority w:val="99"/>
    <w:pPr>
      <w:spacing w:after="120"/>
    </w:pPr>
  </w:style>
  <w:style w:type="paragraph" w:styleId="11">
    <w:name w:val="Body Text Indent"/>
    <w:basedOn w:val="1"/>
    <w:link w:val="45"/>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9"/>
    <w:next w:val="9"/>
    <w:link w:val="65"/>
    <w:unhideWhenUsed/>
    <w:qFormat/>
    <w:uiPriority w:val="99"/>
    <w:rPr>
      <w:b/>
      <w:bCs/>
    </w:rPr>
  </w:style>
  <w:style w:type="table" w:styleId="21">
    <w:name w:val="Table Grid"/>
    <w:basedOn w:val="20"/>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2"/>
    <w:qFormat/>
    <w:uiPriority w:val="9"/>
    <w:rPr>
      <w:rFonts w:eastAsia="楷体"/>
      <w:b/>
      <w:sz w:val="32"/>
      <w:szCs w:val="18"/>
    </w:rPr>
  </w:style>
  <w:style w:type="character" w:customStyle="1" w:styleId="34">
    <w:name w:val="标题 2 Char"/>
    <w:basedOn w:val="22"/>
    <w:link w:val="3"/>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uiPriority w:val="99"/>
    <w:rPr>
      <w:color w:val="605E5C"/>
      <w:shd w:val="clear" w:color="auto" w:fill="E1DFDD"/>
    </w:rPr>
  </w:style>
  <w:style w:type="character" w:customStyle="1" w:styleId="40">
    <w:name w:val="未处理的提及2"/>
    <w:basedOn w:val="22"/>
    <w:semiHidden/>
    <w:unhideWhenUsed/>
    <w:uiPriority w:val="99"/>
    <w:rPr>
      <w:color w:val="605E5C"/>
      <w:shd w:val="clear" w:color="auto" w:fill="E1DFDD"/>
    </w:rPr>
  </w:style>
  <w:style w:type="character" w:customStyle="1" w:styleId="41">
    <w:name w:val="日期 Char"/>
    <w:basedOn w:val="22"/>
    <w:link w:val="12"/>
    <w:semiHidden/>
    <w:uiPriority w:val="99"/>
    <w:rPr>
      <w:rFonts w:asciiTheme="minorHAnsi" w:hAnsiTheme="minorHAnsi" w:eastAsiaTheme="minorEastAsia" w:cstheme="minorBidi"/>
      <w:kern w:val="2"/>
      <w:sz w:val="21"/>
      <w:szCs w:val="22"/>
    </w:rPr>
  </w:style>
  <w:style w:type="paragraph" w:customStyle="1" w:styleId="42">
    <w:name w:val="Char1"/>
    <w:basedOn w:val="8"/>
    <w:semiHidden/>
    <w:uiPriority w:val="0"/>
  </w:style>
  <w:style w:type="character" w:customStyle="1" w:styleId="43">
    <w:name w:val="文档结构图 Char"/>
    <w:basedOn w:val="22"/>
    <w:link w:val="8"/>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8"/>
    <w:semiHidden/>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8"/>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8"/>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8"/>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8"/>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4"/>
    <w:qFormat/>
    <w:uiPriority w:val="9"/>
    <w:rPr>
      <w:rFonts w:ascii="Calibri" w:hAnsi="Calibri" w:eastAsia="仿宋_GB2312"/>
      <w:b/>
      <w:bCs/>
      <w:kern w:val="2"/>
      <w:sz w:val="32"/>
      <w:szCs w:val="32"/>
    </w:rPr>
  </w:style>
  <w:style w:type="character" w:customStyle="1" w:styleId="53">
    <w:name w:val="标题 4 Char"/>
    <w:basedOn w:val="22"/>
    <w:link w:val="5"/>
    <w:qFormat/>
    <w:uiPriority w:val="9"/>
    <w:rPr>
      <w:rFonts w:ascii="Arial" w:hAnsi="Arial" w:eastAsia="仿宋_GB2312"/>
      <w:b/>
      <w:kern w:val="2"/>
      <w:sz w:val="28"/>
      <w:szCs w:val="22"/>
    </w:rPr>
  </w:style>
  <w:style w:type="character" w:customStyle="1" w:styleId="54">
    <w:name w:val="标题 5 Char"/>
    <w:basedOn w:val="22"/>
    <w:link w:val="6"/>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7"/>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9"/>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5"/>
    <w:next w:val="4"/>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2"/>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2"/>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2"/>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10"/>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9713F-48A3-47AD-87C2-97C0BC912A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391</Words>
  <Characters>2234</Characters>
  <Lines>18</Lines>
  <Paragraphs>5</Paragraphs>
  <TotalTime>244</TotalTime>
  <ScaleCrop>false</ScaleCrop>
  <LinksUpToDate>false</LinksUpToDate>
  <CharactersWithSpaces>2620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2020-02-15T04:17:00Z</dcterms:created>
  <dc:creator>Wu King</dc:creator>
  <cp:lastModifiedBy>李昂</cp:lastModifiedBy>
  <cp:lastPrinted>2022-01-08T09:35:06Z</cp:lastPrinted>
  <dcterms:modified xsi:type="dcterms:W3CDTF">2022-01-08T09:35:10Z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7C0CC187AAEC4387994BCF19720867AB</vt:lpwstr>
  </property>
</Properties>
</file>