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关于印发《辽宁省众创空间评价办法</w:t>
      </w:r>
    </w:p>
    <w:p>
      <w:pPr>
        <w:pStyle w:val="17"/>
        <w:keepNext w:val="0"/>
        <w:keepLines w:val="0"/>
        <w:pageBreakBefore w:val="0"/>
        <w:kinsoku/>
        <w:bidi w:val="0"/>
        <w:spacing w:beforeAutospacing="0" w:afterAutospacing="0"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（试行）》的通知</w:t>
      </w:r>
    </w:p>
    <w:p>
      <w:pPr>
        <w:keepNext w:val="0"/>
        <w:keepLines w:val="0"/>
        <w:pageBreakBefore w:val="0"/>
        <w:kinsoku/>
        <w:bidi w:val="0"/>
        <w:spacing w:line="560" w:lineRule="exact"/>
        <w:jc w:val="center"/>
        <w:rPr>
          <w:rFonts w:hint="default" w:ascii="Times New Roman" w:hAnsi="Times New Roman" w:eastAsia="方正楷体_GBK" w:cs="Times New Roman"/>
          <w:b/>
          <w:color w:val="000000"/>
          <w:sz w:val="24"/>
          <w:szCs w:val="24"/>
        </w:rPr>
      </w:pPr>
      <w:r>
        <w:rPr>
          <w:rFonts w:hint="default" w:ascii="Times New Roman" w:hAnsi="Times New Roman" w:eastAsia="方正楷体_GBK" w:cs="Times New Roman"/>
          <w:color w:val="000000"/>
          <w:sz w:val="24"/>
          <w:szCs w:val="24"/>
        </w:rPr>
        <w:t>辽科办发〔2019〕45号</w:t>
      </w:r>
    </w:p>
    <w:p>
      <w:pPr>
        <w:pStyle w:val="17"/>
        <w:keepNext w:val="0"/>
        <w:keepLines w:val="0"/>
        <w:pageBreakBefore w:val="0"/>
        <w:kinsoku/>
        <w:bidi w:val="0"/>
        <w:spacing w:beforeAutospacing="0" w:afterAutospacing="0" w:line="560" w:lineRule="exact"/>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各市科技局：</w:t>
      </w:r>
    </w:p>
    <w:p>
      <w:pPr>
        <w:pStyle w:val="17"/>
        <w:keepNext w:val="0"/>
        <w:keepLines w:val="0"/>
        <w:pageBreakBefore w:val="0"/>
        <w:kinsoku/>
        <w:bidi w:val="0"/>
        <w:spacing w:beforeAutospacing="0" w:afterAutospacing="0" w:line="560" w:lineRule="exact"/>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为</w:t>
      </w:r>
      <w:r>
        <w:rPr>
          <w:rFonts w:hint="default" w:ascii="Times New Roman" w:hAnsi="Times New Roman" w:eastAsia="宋体" w:cs="Times New Roman"/>
          <w:color w:val="000000"/>
          <w:sz w:val="24"/>
          <w:szCs w:val="24"/>
          <w:lang w:val="en-GB"/>
        </w:rPr>
        <w:t>加强和提升</w:t>
      </w:r>
      <w:r>
        <w:rPr>
          <w:rFonts w:hint="default" w:ascii="Times New Roman" w:hAnsi="Times New Roman" w:eastAsia="宋体" w:cs="Times New Roman"/>
          <w:color w:val="000000"/>
          <w:sz w:val="24"/>
          <w:szCs w:val="24"/>
        </w:rPr>
        <w:t>辽宁省</w:t>
      </w:r>
      <w:r>
        <w:rPr>
          <w:rFonts w:hint="default" w:ascii="Times New Roman" w:hAnsi="Times New Roman" w:eastAsia="宋体" w:cs="Times New Roman"/>
          <w:color w:val="000000"/>
          <w:sz w:val="24"/>
          <w:szCs w:val="24"/>
          <w:lang w:val="en-GB"/>
        </w:rPr>
        <w:t>众创空间服务水平，</w:t>
      </w:r>
      <w:r>
        <w:rPr>
          <w:rFonts w:hint="default" w:ascii="Times New Roman" w:hAnsi="Times New Roman" w:eastAsia="宋体" w:cs="Times New Roman"/>
          <w:color w:val="000000"/>
          <w:sz w:val="24"/>
          <w:szCs w:val="24"/>
        </w:rPr>
        <w:t>引导我省众创空间健康发展，现将《辽宁省众创空间评价办法（试行）》印发给你们，请认真贯彻执行。</w:t>
      </w:r>
    </w:p>
    <w:p>
      <w:pPr>
        <w:pStyle w:val="5"/>
        <w:keepNext w:val="0"/>
        <w:keepLines w:val="0"/>
        <w:pageBreakBefore w:val="0"/>
        <w:widowControl/>
        <w:shd w:val="clear" w:color="auto" w:fill="FFFFFF"/>
        <w:kinsoku/>
        <w:bidi w:val="0"/>
        <w:spacing w:beforeAutospacing="0" w:afterAutospacing="0" w:line="560" w:lineRule="exact"/>
        <w:ind w:firstLine="480" w:firstLineChars="200"/>
        <w:jc w:val="both"/>
        <w:rPr>
          <w:rFonts w:hint="default" w:ascii="Times New Roman" w:hAnsi="Times New Roman" w:eastAsia="宋体" w:cs="Times New Roman"/>
          <w:b w:val="0"/>
          <w:color w:val="000000"/>
          <w:sz w:val="24"/>
          <w:szCs w:val="24"/>
        </w:rPr>
      </w:pPr>
    </w:p>
    <w:p>
      <w:pPr>
        <w:keepNext w:val="0"/>
        <w:keepLines w:val="0"/>
        <w:pageBreakBefore w:val="0"/>
        <w:kinsoku/>
        <w:bidi w:val="0"/>
        <w:spacing w:line="560" w:lineRule="exact"/>
        <w:ind w:right="1280" w:firstLine="480" w:firstLineChars="200"/>
        <w:jc w:val="righ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辽宁省科学技术厅</w:t>
      </w:r>
    </w:p>
    <w:p>
      <w:pPr>
        <w:keepNext w:val="0"/>
        <w:keepLines w:val="0"/>
        <w:pageBreakBefore w:val="0"/>
        <w:kinsoku/>
        <w:bidi w:val="0"/>
        <w:spacing w:line="560" w:lineRule="exact"/>
        <w:ind w:right="1274"/>
        <w:jc w:val="righ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2019年4月25日</w:t>
      </w:r>
    </w:p>
    <w:p>
      <w:pPr>
        <w:keepNext w:val="0"/>
        <w:keepLines w:val="0"/>
        <w:pageBreakBefore w:val="0"/>
        <w:kinsoku/>
        <w:bidi w:val="0"/>
        <w:spacing w:line="560" w:lineRule="exact"/>
        <w:ind w:right="1274"/>
        <w:jc w:val="right"/>
        <w:rPr>
          <w:rFonts w:hint="default" w:ascii="Times New Roman" w:hAnsi="Times New Roman" w:eastAsia="宋体" w:cs="Times New Roman"/>
          <w:color w:val="000000"/>
          <w:sz w:val="24"/>
          <w:szCs w:val="24"/>
        </w:rPr>
      </w:pPr>
    </w:p>
    <w:p>
      <w:pPr>
        <w:pStyle w:val="17"/>
        <w:keepNext w:val="0"/>
        <w:keepLines w:val="0"/>
        <w:pageBreakBefore w:val="0"/>
        <w:kinsoku/>
        <w:bidi w:val="0"/>
        <w:spacing w:beforeAutospacing="0" w:afterAutospacing="0"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辽宁省众创空间评价办法（试行）</w:t>
      </w:r>
    </w:p>
    <w:p>
      <w:pPr>
        <w:keepNext w:val="0"/>
        <w:keepLines w:val="0"/>
        <w:pageBreakBefore w:val="0"/>
        <w:kinsoku/>
        <w:bidi w:val="0"/>
        <w:snapToGrid w:val="0"/>
        <w:spacing w:line="560" w:lineRule="exact"/>
        <w:jc w:val="center"/>
        <w:rPr>
          <w:rFonts w:hint="default" w:ascii="Times New Roman" w:hAnsi="Times New Roman" w:eastAsia="宋体" w:cs="Times New Roman"/>
          <w:color w:val="000000"/>
          <w:sz w:val="24"/>
          <w:szCs w:val="24"/>
          <w:lang w:val="en-GB"/>
        </w:rPr>
      </w:pPr>
    </w:p>
    <w:p>
      <w:pPr>
        <w:pStyle w:val="107"/>
        <w:keepNext w:val="0"/>
        <w:keepLines w:val="0"/>
        <w:pageBreakBefore w:val="0"/>
        <w:kinsoku/>
        <w:bidi w:val="0"/>
        <w:snapToGrid/>
        <w:spacing w:line="560" w:lineRule="exact"/>
        <w:ind w:firstLine="640"/>
        <w:rPr>
          <w:rFonts w:hint="default" w:ascii="Times New Roman" w:hAnsi="Times New Roman" w:eastAsia="宋体" w:cs="Times New Roman"/>
          <w:color w:val="000000"/>
          <w:sz w:val="24"/>
          <w:szCs w:val="24"/>
          <w:shd w:val="clear" w:color="auto" w:fill="FFFFFF"/>
        </w:rPr>
      </w:pPr>
      <w:r>
        <w:rPr>
          <w:rFonts w:hint="default" w:ascii="Times New Roman" w:hAnsi="Times New Roman" w:eastAsia="宋体" w:cs="Times New Roman"/>
          <w:color w:val="000000"/>
          <w:sz w:val="24"/>
          <w:szCs w:val="24"/>
        </w:rPr>
        <w:t>为引导和推动我省众创空间高质量发展，以绩效评价体系为抓手，进一步激发众创空间发展新动能，形成创业主体大众化、孵化主体多元化、建设运营市场化、创业模式多样化的发展新格局</w:t>
      </w:r>
      <w:r>
        <w:rPr>
          <w:rFonts w:hint="default" w:ascii="Times New Roman" w:hAnsi="Times New Roman" w:eastAsia="宋体" w:cs="Times New Roman"/>
          <w:color w:val="000000"/>
          <w:sz w:val="24"/>
          <w:szCs w:val="24"/>
          <w:lang w:val="en-GB"/>
        </w:rPr>
        <w:t>。根据《辽宁省众创空间备案管理办法（试行）》要求，制定辽宁省众创空间评价办法（以下简称“评价办法”）。</w:t>
      </w:r>
    </w:p>
    <w:p>
      <w:pPr>
        <w:pStyle w:val="107"/>
        <w:keepNext w:val="0"/>
        <w:keepLines w:val="0"/>
        <w:pageBreakBefore w:val="0"/>
        <w:kinsoku/>
        <w:bidi w:val="0"/>
        <w:snapToGrid/>
        <w:spacing w:line="560" w:lineRule="exact"/>
        <w:ind w:firstLine="640"/>
        <w:rPr>
          <w:rFonts w:hint="default" w:ascii="Times New Roman" w:hAnsi="Times New Roman" w:eastAsia="宋体" w:cs="Times New Roman"/>
          <w:color w:val="000000"/>
          <w:sz w:val="24"/>
          <w:szCs w:val="24"/>
          <w:lang w:val="en-GB"/>
        </w:rPr>
      </w:pPr>
      <w:r>
        <w:rPr>
          <w:rFonts w:hint="default" w:ascii="Times New Roman" w:hAnsi="Times New Roman" w:eastAsia="宋体" w:cs="Times New Roman"/>
          <w:color w:val="000000"/>
          <w:sz w:val="24"/>
          <w:szCs w:val="24"/>
          <w:lang w:val="en-GB"/>
        </w:rPr>
        <w:t>本评价办法用于在辽国家级和省级众创空间绩效评价，旨在加强和提升众创空间服务水平，引导众创空间健康发展，营造良好的创新创业生态环境，并作为制定众创空间有关政策、</w:t>
      </w:r>
      <w:r>
        <w:rPr>
          <w:rFonts w:hint="default" w:ascii="Times New Roman" w:hAnsi="Times New Roman" w:eastAsia="宋体" w:cs="Times New Roman"/>
          <w:color w:val="000000"/>
          <w:sz w:val="24"/>
          <w:szCs w:val="24"/>
        </w:rPr>
        <w:t>引领</w:t>
      </w:r>
      <w:r>
        <w:rPr>
          <w:rFonts w:hint="default" w:ascii="Times New Roman" w:hAnsi="Times New Roman" w:eastAsia="宋体" w:cs="Times New Roman"/>
          <w:color w:val="000000"/>
          <w:sz w:val="24"/>
          <w:szCs w:val="24"/>
          <w:lang w:val="en-GB"/>
        </w:rPr>
        <w:t>发展和动态管理的主要依据。</w:t>
      </w:r>
    </w:p>
    <w:p>
      <w:pPr>
        <w:pStyle w:val="46"/>
        <w:keepNext w:val="0"/>
        <w:keepLines w:val="0"/>
        <w:pageBreakBefore w:val="0"/>
        <w:kinsoku/>
        <w:bidi w:val="0"/>
        <w:spacing w:line="560" w:lineRule="exact"/>
        <w:ind w:firstLine="64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一、评价原则</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sz w:val="24"/>
          <w:szCs w:val="24"/>
        </w:rPr>
        <w:t>（一）导向性原则。</w:t>
      </w:r>
      <w:r>
        <w:rPr>
          <w:rFonts w:hint="default" w:ascii="Times New Roman" w:hAnsi="Times New Roman" w:eastAsia="宋体" w:cs="Times New Roman"/>
          <w:color w:val="000000"/>
          <w:sz w:val="24"/>
          <w:szCs w:val="24"/>
        </w:rPr>
        <w:t>以完善和提升众创空间的便利化、全方位、高质量创新创业服务能力为目标，以推动创新创业，促进成功创业，支撑和服务实体经济转型升级为导向。</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sz w:val="24"/>
          <w:szCs w:val="24"/>
        </w:rPr>
        <w:t>（二）分类性原则。</w:t>
      </w:r>
      <w:r>
        <w:rPr>
          <w:rFonts w:hint="default" w:ascii="Times New Roman" w:hAnsi="Times New Roman" w:eastAsia="宋体" w:cs="Times New Roman"/>
          <w:color w:val="000000"/>
          <w:sz w:val="24"/>
          <w:szCs w:val="24"/>
        </w:rPr>
        <w:t>通过设立共性指标和个性指标的方式，结合不同类型众创空间的特点，确定差异性的权重标准，对众创空间实行分类评价管理。</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sz w:val="24"/>
          <w:szCs w:val="24"/>
        </w:rPr>
        <w:t>（三）可行性原则。</w:t>
      </w:r>
      <w:r>
        <w:rPr>
          <w:rFonts w:hint="default" w:ascii="Times New Roman" w:hAnsi="Times New Roman" w:eastAsia="宋体" w:cs="Times New Roman"/>
          <w:color w:val="000000"/>
          <w:sz w:val="24"/>
          <w:szCs w:val="24"/>
        </w:rPr>
        <w:t>根据众创空间的不同类别，科学设置具有类别特色的考核指标，使众创空间考核工作切实、可行。</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sz w:val="24"/>
          <w:szCs w:val="24"/>
        </w:rPr>
        <w:t>（四）客观性原则。</w:t>
      </w:r>
      <w:r>
        <w:rPr>
          <w:rFonts w:hint="default" w:ascii="Times New Roman" w:hAnsi="Times New Roman" w:eastAsia="宋体" w:cs="Times New Roman"/>
          <w:color w:val="000000"/>
          <w:sz w:val="24"/>
          <w:szCs w:val="24"/>
        </w:rPr>
        <w:t>以定量指标作为主要评价手段，按照定性与定量、总量与比值相结合的方式，对众创空间的基础能力、服务能力、集聚能力、孵化绩效等方面进行客观评价。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sz w:val="24"/>
          <w:szCs w:val="24"/>
        </w:rPr>
        <w:t>（五）公平性原则。</w:t>
      </w:r>
      <w:r>
        <w:rPr>
          <w:rFonts w:hint="default" w:ascii="Times New Roman" w:hAnsi="Times New Roman" w:eastAsia="宋体" w:cs="Times New Roman"/>
          <w:color w:val="000000"/>
          <w:sz w:val="24"/>
          <w:szCs w:val="24"/>
        </w:rPr>
        <w:t>依据众创空间报送省科技厅的年度绩效评价统计数据和报告，通过强化市科技局审核责任和省科技厅评审的方式，切实增强评价工作的公平公正性。</w:t>
      </w:r>
    </w:p>
    <w:p>
      <w:pPr>
        <w:pStyle w:val="46"/>
        <w:keepNext w:val="0"/>
        <w:keepLines w:val="0"/>
        <w:pageBreakBefore w:val="0"/>
        <w:kinsoku/>
        <w:bidi w:val="0"/>
        <w:spacing w:line="560" w:lineRule="exact"/>
        <w:ind w:firstLine="64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二、评价分类</w:t>
      </w:r>
    </w:p>
    <w:p>
      <w:pPr>
        <w:pStyle w:val="46"/>
        <w:keepNext w:val="0"/>
        <w:keepLines w:val="0"/>
        <w:pageBreakBefore w:val="0"/>
        <w:kinsoku/>
        <w:bidi w:val="0"/>
        <w:spacing w:line="560" w:lineRule="exact"/>
        <w:ind w:firstLine="643"/>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kern w:val="2"/>
          <w:sz w:val="24"/>
          <w:szCs w:val="24"/>
          <w:lang w:val="en-US" w:eastAsia="zh-CN" w:bidi="ar-SA"/>
        </w:rPr>
        <w:t>（一）综合型。</w:t>
      </w:r>
      <w:r>
        <w:rPr>
          <w:rFonts w:hint="default" w:ascii="Times New Roman" w:hAnsi="Times New Roman" w:eastAsia="宋体" w:cs="Times New Roman"/>
          <w:color w:val="000000"/>
          <w:sz w:val="24"/>
          <w:szCs w:val="24"/>
        </w:rPr>
        <w:t>无特定的产业及领域，为创新创业者提供低成本、便利化、全要素、开放式的创新创业服务平台，创新创业人群中包括特定创业群体，妇女、退役、残疾人、少数民族等。</w:t>
      </w:r>
    </w:p>
    <w:p>
      <w:pPr>
        <w:pStyle w:val="46"/>
        <w:keepNext w:val="0"/>
        <w:keepLines w:val="0"/>
        <w:pageBreakBefore w:val="0"/>
        <w:kinsoku/>
        <w:bidi w:val="0"/>
        <w:spacing w:line="560" w:lineRule="exact"/>
        <w:ind w:firstLine="643"/>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kern w:val="2"/>
          <w:sz w:val="24"/>
          <w:szCs w:val="24"/>
          <w:lang w:val="en-US" w:eastAsia="zh-CN" w:bidi="ar-SA"/>
        </w:rPr>
        <w:t>（二）投融促进型。</w:t>
      </w:r>
      <w:r>
        <w:rPr>
          <w:rFonts w:hint="default" w:ascii="Times New Roman" w:hAnsi="Times New Roman" w:eastAsia="宋体" w:cs="Times New Roman"/>
          <w:color w:val="000000"/>
          <w:sz w:val="24"/>
          <w:szCs w:val="24"/>
        </w:rPr>
        <w:t>众创空间自身设立投资基金，为入驻团队和企业提供直接投资或投融资方面服务，收入以投资收入为主。</w:t>
      </w:r>
    </w:p>
    <w:p>
      <w:pPr>
        <w:pStyle w:val="46"/>
        <w:keepNext w:val="0"/>
        <w:keepLines w:val="0"/>
        <w:pageBreakBefore w:val="0"/>
        <w:kinsoku/>
        <w:bidi w:val="0"/>
        <w:spacing w:line="560" w:lineRule="exact"/>
        <w:ind w:firstLine="643"/>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kern w:val="2"/>
          <w:sz w:val="24"/>
          <w:szCs w:val="24"/>
          <w:lang w:val="en-US" w:eastAsia="zh-CN" w:bidi="ar-SA"/>
        </w:rPr>
        <w:t>（三）培训辅导（创客）型。</w:t>
      </w:r>
      <w:r>
        <w:rPr>
          <w:rFonts w:hint="default" w:ascii="Times New Roman" w:hAnsi="Times New Roman" w:eastAsia="宋体" w:cs="Times New Roman"/>
          <w:color w:val="000000"/>
          <w:sz w:val="24"/>
          <w:szCs w:val="24"/>
        </w:rPr>
        <w:t>以创客为主要创新创业群体，开展公益讲堂、创业论坛、创业训练营、创新创业大赛、路演等活动，基于线上和线下平台资源，满足创客在产品设计、供应链、生产等方面的个性化需求。</w:t>
      </w:r>
    </w:p>
    <w:p>
      <w:pPr>
        <w:pStyle w:val="46"/>
        <w:keepNext w:val="0"/>
        <w:keepLines w:val="0"/>
        <w:pageBreakBefore w:val="0"/>
        <w:kinsoku/>
        <w:bidi w:val="0"/>
        <w:spacing w:line="560" w:lineRule="exact"/>
        <w:ind w:firstLine="643"/>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kern w:val="2"/>
          <w:sz w:val="24"/>
          <w:szCs w:val="24"/>
          <w:lang w:val="en-US" w:eastAsia="zh-CN" w:bidi="ar-SA"/>
        </w:rPr>
        <w:t>（四）国际科技合作型。</w:t>
      </w:r>
      <w:r>
        <w:rPr>
          <w:rFonts w:hint="default" w:ascii="Times New Roman" w:hAnsi="Times New Roman" w:eastAsia="宋体" w:cs="Times New Roman"/>
          <w:color w:val="000000"/>
          <w:sz w:val="24"/>
          <w:szCs w:val="24"/>
        </w:rPr>
        <w:t>与国际先进创业孵化机构开展对接合作或引进国外先进创业孵化理念和模式设立的众创空间，实现创新创业要素跨国、跨行业自由流动。</w:t>
      </w:r>
    </w:p>
    <w:p>
      <w:pPr>
        <w:pStyle w:val="46"/>
        <w:keepNext w:val="0"/>
        <w:keepLines w:val="0"/>
        <w:pageBreakBefore w:val="0"/>
        <w:kinsoku/>
        <w:bidi w:val="0"/>
        <w:spacing w:line="560" w:lineRule="exact"/>
        <w:ind w:firstLine="643"/>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kern w:val="2"/>
          <w:sz w:val="24"/>
          <w:szCs w:val="24"/>
          <w:lang w:val="en-US" w:eastAsia="zh-CN" w:bidi="ar-SA"/>
        </w:rPr>
        <w:t>（五）产业生态孵化型。</w:t>
      </w:r>
      <w:r>
        <w:rPr>
          <w:rFonts w:hint="default" w:ascii="Times New Roman" w:hAnsi="Times New Roman" w:eastAsia="宋体" w:cs="Times New Roman"/>
          <w:color w:val="000000"/>
          <w:sz w:val="24"/>
          <w:szCs w:val="24"/>
        </w:rPr>
        <w:t>围绕特定产业或领域，与“孵化器—加速器—产业园”共同打造全面的创新创业生态孵化链条。</w:t>
      </w:r>
    </w:p>
    <w:p>
      <w:pPr>
        <w:pStyle w:val="46"/>
        <w:keepNext w:val="0"/>
        <w:keepLines w:val="0"/>
        <w:pageBreakBefore w:val="0"/>
        <w:kinsoku/>
        <w:bidi w:val="0"/>
        <w:spacing w:line="560" w:lineRule="exact"/>
        <w:ind w:firstLine="643"/>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kern w:val="2"/>
          <w:sz w:val="24"/>
          <w:szCs w:val="24"/>
          <w:lang w:val="en-US" w:eastAsia="zh-CN" w:bidi="ar-SA"/>
        </w:rPr>
        <w:t>（六）大中小融通型。</w:t>
      </w:r>
      <w:r>
        <w:rPr>
          <w:rFonts w:hint="default" w:ascii="Times New Roman" w:hAnsi="Times New Roman" w:eastAsia="宋体" w:cs="Times New Roman"/>
          <w:color w:val="000000"/>
          <w:sz w:val="24"/>
          <w:szCs w:val="24"/>
        </w:rPr>
        <w:t>以大企业、大院大所（包括具有行业特色的院校）为依托建设众创空间，发挥品牌、供应链、营销渠道、研发开发平台、产品产业化、资金、导师资源等方面优势提供创新创业平台。</w:t>
      </w:r>
    </w:p>
    <w:p>
      <w:pPr>
        <w:pStyle w:val="46"/>
        <w:keepNext w:val="0"/>
        <w:keepLines w:val="0"/>
        <w:pageBreakBefore w:val="0"/>
        <w:kinsoku/>
        <w:bidi w:val="0"/>
        <w:spacing w:line="560" w:lineRule="exact"/>
        <w:ind w:firstLine="643"/>
        <w:rPr>
          <w:rFonts w:hint="default" w:ascii="Times New Roman" w:hAnsi="Times New Roman" w:eastAsia="宋体" w:cs="Times New Roman"/>
          <w:color w:val="000000"/>
          <w:sz w:val="24"/>
          <w:szCs w:val="24"/>
        </w:rPr>
      </w:pPr>
      <w:r>
        <w:rPr>
          <w:rFonts w:hint="default" w:ascii="Times New Roman" w:hAnsi="Times New Roman" w:eastAsia="方正楷体_GBK" w:cs="Times New Roman"/>
          <w:b w:val="0"/>
          <w:bCs/>
          <w:color w:val="000000"/>
          <w:kern w:val="2"/>
          <w:sz w:val="24"/>
          <w:szCs w:val="24"/>
          <w:lang w:val="en-US" w:eastAsia="zh-CN" w:bidi="ar-SA"/>
        </w:rPr>
        <w:t>（七）军民融合型。</w:t>
      </w:r>
      <w:r>
        <w:rPr>
          <w:rFonts w:hint="default" w:ascii="Times New Roman" w:hAnsi="Times New Roman" w:eastAsia="宋体" w:cs="Times New Roman"/>
          <w:color w:val="000000"/>
          <w:sz w:val="24"/>
          <w:szCs w:val="24"/>
        </w:rPr>
        <w:t>通过建立各类军民协同创新公共服务平台，开展军民科技协同创新，鼓励和引导民用技术参军和军用技术转民。</w:t>
      </w:r>
    </w:p>
    <w:p>
      <w:pPr>
        <w:pStyle w:val="46"/>
        <w:keepNext w:val="0"/>
        <w:keepLines w:val="0"/>
        <w:pageBreakBefore w:val="0"/>
        <w:kinsoku/>
        <w:bidi w:val="0"/>
        <w:spacing w:line="560" w:lineRule="exact"/>
        <w:ind w:firstLine="64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三、评价内容</w:t>
      </w:r>
    </w:p>
    <w:p>
      <w:pPr>
        <w:pStyle w:val="107"/>
        <w:keepNext w:val="0"/>
        <w:keepLines w:val="0"/>
        <w:pageBreakBefore w:val="0"/>
        <w:kinsoku/>
        <w:bidi w:val="0"/>
        <w:snapToGrid/>
        <w:spacing w:line="560" w:lineRule="exact"/>
        <w:ind w:firstLine="460" w:firstLineChars="192"/>
        <w:rPr>
          <w:rFonts w:hint="default" w:ascii="Times New Roman" w:hAnsi="Times New Roman" w:eastAsia="方正楷体_GBK" w:cs="Times New Roman"/>
          <w:b w:val="0"/>
          <w:bCs/>
          <w:color w:val="000000"/>
          <w:kern w:val="2"/>
          <w:sz w:val="24"/>
          <w:szCs w:val="24"/>
          <w:lang w:val="en-US" w:eastAsia="zh-CN" w:bidi="ar-SA"/>
        </w:rPr>
      </w:pPr>
      <w:r>
        <w:rPr>
          <w:rFonts w:hint="default" w:ascii="Times New Roman" w:hAnsi="Times New Roman" w:eastAsia="方正楷体_GBK" w:cs="Times New Roman"/>
          <w:b w:val="0"/>
          <w:bCs/>
          <w:color w:val="000000"/>
          <w:kern w:val="2"/>
          <w:sz w:val="24"/>
          <w:szCs w:val="24"/>
          <w:lang w:val="en-US" w:eastAsia="zh-CN" w:bidi="ar-SA"/>
        </w:rPr>
        <w:t>（一）共性评价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1.基础能力。</w:t>
      </w:r>
      <w:r>
        <w:rPr>
          <w:rFonts w:hint="default" w:ascii="Times New Roman" w:hAnsi="Times New Roman" w:eastAsia="宋体" w:cs="Times New Roman"/>
          <w:color w:val="000000"/>
          <w:sz w:val="24"/>
          <w:szCs w:val="24"/>
        </w:rPr>
        <w:t>主要从管理制度与运行机制完善程度、总面积与使用面积占比、统计数据与年度报告完成情况等方面进行评价。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2.服务能力。</w:t>
      </w:r>
      <w:r>
        <w:rPr>
          <w:rFonts w:hint="default" w:ascii="Times New Roman" w:hAnsi="Times New Roman" w:eastAsia="宋体" w:cs="Times New Roman"/>
          <w:color w:val="000000"/>
          <w:sz w:val="24"/>
          <w:szCs w:val="24"/>
        </w:rPr>
        <w:t>主要从举办创新创业等活动情况、创业导师队伍建设、服务收入与总收入占比、员工服务企业或团队占比等方面进行评价。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3.集聚能力。</w:t>
      </w:r>
      <w:r>
        <w:rPr>
          <w:rFonts w:hint="default" w:ascii="Times New Roman" w:hAnsi="Times New Roman" w:eastAsia="宋体" w:cs="Times New Roman"/>
          <w:color w:val="000000"/>
          <w:sz w:val="24"/>
          <w:szCs w:val="24"/>
        </w:rPr>
        <w:t>主要从中介服务机构的集聚、金融服务能力、产业集中度等方面进行评价。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4.孵化绩效。</w:t>
      </w:r>
      <w:r>
        <w:rPr>
          <w:rFonts w:hint="default" w:ascii="Times New Roman" w:hAnsi="Times New Roman" w:eastAsia="宋体" w:cs="Times New Roman"/>
          <w:color w:val="000000"/>
          <w:sz w:val="24"/>
          <w:szCs w:val="24"/>
        </w:rPr>
        <w:t>主要从获得投资情况、吸纳就业情况、获奖情况等方面进行评价。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方正楷体_GBK" w:cs="Times New Roman"/>
          <w:b w:val="0"/>
          <w:bCs/>
          <w:color w:val="000000"/>
          <w:kern w:val="2"/>
          <w:sz w:val="24"/>
          <w:szCs w:val="24"/>
          <w:lang w:val="en-US" w:eastAsia="zh-CN" w:bidi="ar-SA"/>
        </w:rPr>
      </w:pPr>
      <w:r>
        <w:rPr>
          <w:rFonts w:hint="default" w:ascii="Times New Roman" w:hAnsi="Times New Roman" w:eastAsia="方正楷体_GBK" w:cs="Times New Roman"/>
          <w:b w:val="0"/>
          <w:bCs/>
          <w:color w:val="000000"/>
          <w:kern w:val="2"/>
          <w:sz w:val="24"/>
          <w:szCs w:val="24"/>
          <w:lang w:val="en-US" w:eastAsia="zh-CN" w:bidi="ar-SA"/>
        </w:rPr>
        <w:t>（二）个性评价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1.综合型。</w:t>
      </w:r>
      <w:r>
        <w:rPr>
          <w:rFonts w:hint="default" w:ascii="Times New Roman" w:hAnsi="Times New Roman" w:eastAsia="宋体" w:cs="Times New Roman"/>
          <w:color w:val="000000"/>
          <w:sz w:val="24"/>
          <w:szCs w:val="24"/>
        </w:rPr>
        <w:t>主要从基础能力、服务能力、集聚能力、孵化绩效等方面进行评价。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2.投融促进型。</w:t>
      </w:r>
      <w:r>
        <w:rPr>
          <w:rFonts w:hint="default" w:ascii="Times New Roman" w:hAnsi="Times New Roman" w:eastAsia="宋体" w:cs="Times New Roman"/>
          <w:color w:val="000000"/>
          <w:sz w:val="24"/>
          <w:szCs w:val="24"/>
        </w:rPr>
        <w:t>主要从获得投融资情况、专业投资导师队伍、举办或参加路演活动等方面进行评价。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3.培训辅导型。</w:t>
      </w:r>
      <w:r>
        <w:rPr>
          <w:rFonts w:hint="default" w:ascii="Times New Roman" w:hAnsi="Times New Roman" w:eastAsia="宋体" w:cs="Times New Roman"/>
          <w:color w:val="000000"/>
          <w:sz w:val="24"/>
          <w:szCs w:val="24"/>
        </w:rPr>
        <w:t>主要从课程体系建设、开展创业教育培训、举办或承接大赛等方面进行评价。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4.国际科技合作型。</w:t>
      </w:r>
      <w:r>
        <w:rPr>
          <w:rFonts w:hint="default" w:ascii="Times New Roman" w:hAnsi="Times New Roman" w:eastAsia="宋体" w:cs="Times New Roman"/>
          <w:color w:val="000000"/>
          <w:sz w:val="24"/>
          <w:szCs w:val="24"/>
        </w:rPr>
        <w:t>主要从与境外机构合作共建情况、开展国际交流活动、开拓国际市场等方面进行评价。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5.产业生态孵化型。</w:t>
      </w:r>
      <w:r>
        <w:rPr>
          <w:rFonts w:hint="default" w:ascii="Times New Roman" w:hAnsi="Times New Roman" w:eastAsia="宋体" w:cs="Times New Roman"/>
          <w:color w:val="000000"/>
          <w:sz w:val="24"/>
          <w:szCs w:val="24"/>
        </w:rPr>
        <w:t>主要从专业化平台建设、推荐孵化器和加速器项目数量、与高新区合作等方面进行评价。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6.大中小融通型。</w:t>
      </w:r>
      <w:r>
        <w:rPr>
          <w:rFonts w:hint="default" w:ascii="Times New Roman" w:hAnsi="Times New Roman" w:eastAsia="宋体" w:cs="Times New Roman"/>
          <w:color w:val="000000"/>
          <w:sz w:val="24"/>
          <w:szCs w:val="24"/>
        </w:rPr>
        <w:t>主要从优势资源平台共享、选育机制、培育中小企业成功情况等方面进行评价。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7.军民融合型。</w:t>
      </w:r>
      <w:r>
        <w:rPr>
          <w:rFonts w:hint="default" w:ascii="Times New Roman" w:hAnsi="Times New Roman" w:eastAsia="宋体" w:cs="Times New Roman"/>
          <w:color w:val="000000"/>
          <w:sz w:val="24"/>
          <w:szCs w:val="24"/>
        </w:rPr>
        <w:t>主要从民用项目参军、军用项目转民等方面进行评价。</w:t>
      </w:r>
    </w:p>
    <w:p>
      <w:pPr>
        <w:pStyle w:val="107"/>
        <w:keepNext w:val="0"/>
        <w:keepLines w:val="0"/>
        <w:pageBreakBefore w:val="0"/>
        <w:kinsoku/>
        <w:bidi w:val="0"/>
        <w:snapToGrid/>
        <w:spacing w:line="560" w:lineRule="exact"/>
        <w:ind w:firstLine="460" w:firstLineChars="192"/>
        <w:rPr>
          <w:rFonts w:hint="default" w:ascii="Times New Roman" w:hAnsi="Times New Roman" w:eastAsia="方正黑体_GBK" w:cs="Times New Roman"/>
          <w:b w:val="0"/>
          <w:bCs/>
          <w:color w:val="000000"/>
          <w:kern w:val="2"/>
          <w:sz w:val="24"/>
          <w:szCs w:val="24"/>
          <w:lang w:val="en-US" w:eastAsia="zh-CN" w:bidi="ar-SA"/>
        </w:rPr>
      </w:pPr>
      <w:r>
        <w:rPr>
          <w:rFonts w:hint="default" w:ascii="Times New Roman" w:hAnsi="Times New Roman" w:eastAsia="方正黑体_GBK" w:cs="Times New Roman"/>
          <w:b w:val="0"/>
          <w:bCs/>
          <w:color w:val="000000"/>
          <w:kern w:val="2"/>
          <w:sz w:val="24"/>
          <w:szCs w:val="24"/>
          <w:lang w:val="en-US" w:eastAsia="zh-CN" w:bidi="ar-SA"/>
        </w:rPr>
        <w:t>四、组织实施</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（一）以省级以上众创空间为评价对象。</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（二）评价工作每年开展一次，以上一年度数据作为评价依据，考察全省众创空间上一年度的建设情况和服务能力。</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（三）省内各国家级、省级众创空间应于每年3月底前做好统计报表数据和相关证明材料的收集、整理，留案备查，并按要求将众创空间年度统计表和工作报告上传至“</w:t>
      </w:r>
      <w:r>
        <w:rPr>
          <w:rFonts w:hint="default" w:ascii="Times New Roman" w:hAnsi="Times New Roman" w:eastAsia="宋体" w:cs="Times New Roman"/>
          <w:color w:val="000000"/>
          <w:sz w:val="24"/>
          <w:szCs w:val="24"/>
          <w:shd w:val="clear" w:color="auto" w:fill="FFFFFF"/>
        </w:rPr>
        <w:t>辽宁省科技创新综合信息平台</w:t>
      </w:r>
      <w:r>
        <w:rPr>
          <w:rFonts w:hint="default" w:ascii="Times New Roman" w:hAnsi="Times New Roman" w:eastAsia="宋体" w:cs="Times New Roman"/>
          <w:color w:val="000000"/>
          <w:sz w:val="24"/>
          <w:szCs w:val="24"/>
        </w:rPr>
        <w:t>”。众创空间所在市科技局负责对所辖区域内众创空间上报的统计数据、报告的真实性和完整性进行初步审查，审查通过后上报省科技厅。</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（四）各市科技局在审核过程中发现问题的，要对变化异常的数据进行重点核实，并及时告知相关众创空间，要求其限期改正或提供其他补充证明材料。</w:t>
      </w:r>
    </w:p>
    <w:p>
      <w:pPr>
        <w:pStyle w:val="107"/>
        <w:keepNext w:val="0"/>
        <w:keepLines w:val="0"/>
        <w:pageBreakBefore w:val="0"/>
        <w:kinsoku/>
        <w:bidi w:val="0"/>
        <w:snapToGrid/>
        <w:spacing w:line="560" w:lineRule="exact"/>
        <w:ind w:firstLine="64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五）省科技厅或委托第三方机构组织专家成立专家组具体开展评价工作，依据各众创空间上报的年度统计报表和工作报告的数据和内容按照辽宁省科技企业众创空间评价指标体系（见附件）进行打分，必要时开展实地抽查。</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（六）省科技厅依据专家组评价意见，进行综合评价和研究，确定年度评价结果并公布。</w:t>
      </w:r>
    </w:p>
    <w:p>
      <w:pPr>
        <w:keepNext w:val="0"/>
        <w:keepLines w:val="0"/>
        <w:pageBreakBefore w:val="0"/>
        <w:kinsoku/>
        <w:bidi w:val="0"/>
        <w:spacing w:line="560" w:lineRule="exact"/>
        <w:ind w:firstLine="480" w:firstLineChars="20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五、评价方法</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（一）定量指标的计分方法。</w:t>
      </w:r>
      <w:r>
        <w:rPr>
          <w:rFonts w:hint="default" w:ascii="Times New Roman" w:hAnsi="Times New Roman" w:eastAsia="宋体" w:cs="Times New Roman"/>
          <w:color w:val="000000"/>
          <w:sz w:val="24"/>
          <w:szCs w:val="24"/>
        </w:rPr>
        <w:t>根据各众创空间每年上报的年度统计数据表和工作报告中的部分数据，按照指标定义，在核实数据的基础上计算各定量指标的实际值，并采用功效函数法对其进行打分。</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（二）定性指标的计分方法。</w:t>
      </w:r>
      <w:r>
        <w:rPr>
          <w:rFonts w:hint="default" w:ascii="Times New Roman" w:hAnsi="Times New Roman" w:eastAsia="宋体" w:cs="Times New Roman"/>
          <w:color w:val="000000"/>
          <w:sz w:val="24"/>
          <w:szCs w:val="24"/>
        </w:rPr>
        <w:t>专家首先根据各定性指标不同等级的描述，通过众创空间年度报告、实地考察等方式，获得定性评估的依据，通过集体评议确定指标的等级。各定性指标分好、较好、一般、差四个等级，在所确定等级的赋值范围内进行打分，然后对所有专家的打分进行算术平均，得到定性指标的定量化分值。</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（三）综合评价得分。</w:t>
      </w:r>
      <w:r>
        <w:rPr>
          <w:rFonts w:hint="default" w:ascii="Times New Roman" w:hAnsi="Times New Roman" w:eastAsia="宋体" w:cs="Times New Roman"/>
          <w:color w:val="000000"/>
          <w:sz w:val="24"/>
          <w:szCs w:val="24"/>
        </w:rPr>
        <w:t>根据事先设定的权重加权计算各众创空间的综合得分。其中，二级指标的得分为相关的三级指标的加权平均值，一级指标的得分为相关的二级指标的加权平均值，众创空间综合得分为所有一级指标的加权平均值。</w:t>
      </w:r>
    </w:p>
    <w:p>
      <w:pPr>
        <w:keepNext w:val="0"/>
        <w:keepLines w:val="0"/>
        <w:pageBreakBefore w:val="0"/>
        <w:kinsoku/>
        <w:bidi w:val="0"/>
        <w:spacing w:line="560" w:lineRule="exact"/>
        <w:ind w:firstLine="480" w:firstLineChars="20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六、评价结果及应用</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（一）众创空间评价结果分为优秀（A）、良好（B）、合格（C）和不合格（D）四个等级。</w:t>
      </w:r>
    </w:p>
    <w:p>
      <w:pPr>
        <w:pStyle w:val="107"/>
        <w:keepNext w:val="0"/>
        <w:keepLines w:val="0"/>
        <w:pageBreakBefore w:val="0"/>
        <w:kinsoku/>
        <w:bidi w:val="0"/>
        <w:snapToGrid/>
        <w:spacing w:line="560" w:lineRule="exact"/>
        <w:ind w:firstLine="64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评价结果作为省级众创空间动态管理、政策激励和资金扶持的重要依据，按有关规定执行。对评价结果为优秀的众创空间以及评价结果在良好等级，但各项评价指标增长较快的众创空间，在安排相关科技计划、资金补助和奖励时，予以优先考虑。</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（三）不按规定时间和要求提供评价资料的或提供虚假评价资料的众创空间，评价结果直接不合格。</w:t>
      </w:r>
    </w:p>
    <w:p>
      <w:pPr>
        <w:pStyle w:val="107"/>
        <w:keepNext w:val="0"/>
        <w:keepLines w:val="0"/>
        <w:pageBreakBefore w:val="0"/>
        <w:kinsoku/>
        <w:bidi w:val="0"/>
        <w:snapToGrid/>
        <w:spacing w:line="560" w:lineRule="exact"/>
        <w:ind w:firstLine="460" w:firstLineChars="192"/>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连续两次评价结果不合格的国家级众创空间，报请科技部取消其国家级资格，同时取消其省级资格；连续两次评价结果不合格的省级众创空间，取消其省级资格。取消国家级或省级资格的众创空间，两年内不得重新申报省级众创空间。</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rPr>
          <w:rFonts w:hint="default" w:ascii="Times New Roman" w:hAnsi="Times New Roman" w:eastAsia="方正楷体_GBK" w:cs="Times New Roman"/>
          <w:bCs/>
          <w:color w:val="000000"/>
          <w:sz w:val="24"/>
          <w:szCs w:val="24"/>
        </w:rPr>
      </w:pPr>
      <w:r>
        <w:rPr>
          <w:rFonts w:hint="default" w:ascii="Times New Roman" w:hAnsi="Times New Roman" w:eastAsia="方正楷体_GBK" w:cs="Times New Roman"/>
          <w:bCs/>
          <w:color w:val="000000"/>
          <w:sz w:val="24"/>
          <w:szCs w:val="24"/>
        </w:rPr>
        <w:t>附件</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辽宁省众创空间评价指标体系</w:t>
      </w: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综合型众创空间</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582"/>
        <w:gridCol w:w="839"/>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atLeast"/>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一级</w:t>
            </w:r>
          </w:p>
          <w:p>
            <w:pPr>
              <w:keepNext w:val="0"/>
              <w:keepLines w:val="0"/>
              <w:pageBreakBefore w:val="0"/>
              <w:widowControl w:val="0"/>
              <w:kinsoku/>
              <w:wordWrap/>
              <w:overflowPunct/>
              <w:topLinePunct w:val="0"/>
              <w:autoSpaceDE/>
              <w:autoSpaceDN/>
              <w:bidi w:val="0"/>
              <w:adjustRightInd/>
              <w:snapToGrid/>
              <w:spacing w:line="400" w:lineRule="atLeast"/>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指标</w:t>
            </w: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atLeast"/>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二级指标</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atLeast"/>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指标类别</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atLeast"/>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基本</w:t>
            </w:r>
          </w:p>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情况</w:t>
            </w:r>
          </w:p>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（15%）</w:t>
            </w: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入驻项目团队和企业使用面积和公共面积占比</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每千平入驻项目团队和企业数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众创空间管理制度、运行机制完善程度及财务状况</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统计和工作总结报告完整性、准确性和时效性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服务</w:t>
            </w:r>
          </w:p>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能力</w:t>
            </w:r>
          </w:p>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（20%）</w:t>
            </w: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专业服务人员数量与入驻项目团队和企业总数的比例</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创业导师数量与入驻项目团队和企业总数的比例</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highlight w:val="yellow"/>
              </w:rPr>
            </w:pPr>
            <w:r>
              <w:rPr>
                <w:rFonts w:hint="default" w:ascii="Times New Roman" w:hAnsi="Times New Roman" w:eastAsia="宋体" w:cs="Times New Roman"/>
                <w:color w:val="000000"/>
                <w:sz w:val="21"/>
                <w:szCs w:val="21"/>
              </w:rPr>
              <w:t>考核期内举办创新创业等活动的次数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考核期内收入构成中服务收入占总收入的比例（总收入不包括政府性收入）</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集聚</w:t>
            </w:r>
          </w:p>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能力</w:t>
            </w:r>
          </w:p>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（25%）</w:t>
            </w: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众创空间自建或与投融资机构合作设立的供入驻项目团队和企业使用的资金数额</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签约中介服务机构数量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众创空间在区域范围内的辐射效应</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考核期内吸纳创新创业团队和企业数量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center"/>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考核期内众创空间和入驻项目获得财政资金支持总额</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孵化</w:t>
            </w:r>
          </w:p>
          <w:p>
            <w:pPr>
              <w:keepNext w:val="0"/>
              <w:keepLines w:val="0"/>
              <w:pageBreakBefore w:val="0"/>
              <w:widowControl w:val="0"/>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绩效（40%）</w:t>
            </w: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考核期内获得投融资的入驻项目团队和企业数量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1"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考核期内入驻项目团队和企业获得投融资总额</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为创业团队和企业推介科技成果、对接并成功转移转化数量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考核期内吸纳就业人数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入驻项目团队和企业拥有有效知识产权数量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1"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考核期内上市（挂牌）、并购企业数量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01"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textAlignment w:val="auto"/>
              <w:rPr>
                <w:rFonts w:hint="default" w:ascii="Times New Roman" w:hAnsi="Times New Roman" w:eastAsia="宋体" w:cs="Times New Roman"/>
                <w:color w:val="000000"/>
                <w:sz w:val="21"/>
                <w:szCs w:val="21"/>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考核期内年收入50万以上的入驻项目团队和企业数量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textAlignment w:val="auto"/>
              <w:rPr>
                <w:rFonts w:hint="default" w:ascii="Times New Roman" w:hAnsi="Times New Roman" w:eastAsia="宋体" w:cs="Times New Roman"/>
                <w:color w:val="000000"/>
                <w:sz w:val="21"/>
                <w:szCs w:val="21"/>
                <w:highlight w:val="yellow"/>
              </w:rPr>
            </w:pPr>
          </w:p>
        </w:tc>
        <w:tc>
          <w:tcPr>
            <w:tcW w:w="658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textAlignment w:val="auto"/>
              <w:rPr>
                <w:rFonts w:hint="default" w:ascii="Times New Roman" w:hAnsi="Times New Roman" w:eastAsia="宋体" w:cs="Times New Roman"/>
                <w:color w:val="000000"/>
                <w:sz w:val="21"/>
                <w:szCs w:val="21"/>
                <w:highlight w:val="yellow"/>
              </w:rPr>
            </w:pPr>
            <w:r>
              <w:rPr>
                <w:rFonts w:hint="default" w:ascii="Times New Roman" w:hAnsi="Times New Roman" w:eastAsia="宋体" w:cs="Times New Roman"/>
                <w:color w:val="000000"/>
                <w:sz w:val="21"/>
                <w:szCs w:val="21"/>
              </w:rPr>
              <w:t>入驻项目团队和企业中科技中小型企业、高新技术企业总数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atLeast"/>
              <w:ind w:left="-4" w:leftChars="-13" w:hanging="23" w:hangingChars="11"/>
              <w:jc w:val="center"/>
              <w:textAlignment w:val="auto"/>
              <w:rPr>
                <w:rFonts w:hint="default" w:ascii="Times New Roman" w:hAnsi="Times New Roman" w:eastAsia="宋体" w:cs="Times New Roman"/>
                <w:b/>
                <w:color w:val="000000"/>
                <w:sz w:val="21"/>
                <w:szCs w:val="21"/>
                <w:highlight w:val="yellow"/>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tabs>
                <w:tab w:val="left" w:pos="253"/>
              </w:tabs>
              <w:kinsoku/>
              <w:wordWrap/>
              <w:overflowPunct/>
              <w:topLinePunct w:val="0"/>
              <w:autoSpaceDE/>
              <w:autoSpaceDN/>
              <w:bidi w:val="0"/>
              <w:adjustRightInd/>
              <w:snapToGrid w:val="0"/>
              <w:spacing w:line="400" w:lineRule="atLeas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bl>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投融促进型众创空间评价指标体系</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r>
        <w:rPr>
          <w:rFonts w:hint="default" w:ascii="Times New Roman" w:hAnsi="Times New Roman" w:eastAsia="宋体" w:cs="Times New Roman"/>
          <w:b/>
          <w:bCs/>
          <w:color w:val="000000"/>
          <w:sz w:val="24"/>
          <w:szCs w:val="24"/>
        </w:rPr>
        <w:t>（此表：综合型60分制+个性指标40分制，总分100分）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6586"/>
        <w:gridCol w:w="839"/>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一级</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w:t>
            </w:r>
          </w:p>
        </w:tc>
        <w:tc>
          <w:tcPr>
            <w:tcW w:w="6586"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二级指标</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指标类别</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投融</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促进</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（40%）</w:t>
            </w: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考核期内众创空间投资收入占总收入的比例</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签订投融资机构数量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专业投资导师数量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考核期内举办和带领入驻项目参加路演活动次数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考核期内成功投资入驻项目团队和企业数量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考核期内对接投融资的团队和企业数量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自有种子或孵化基金金额</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考核期内入驻项目团队和企业获得的社会融资总额</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bl>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培训辅导（创客）型众创空间评价指标体系</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r>
        <w:rPr>
          <w:rFonts w:hint="default" w:ascii="Times New Roman" w:hAnsi="Times New Roman" w:eastAsia="宋体" w:cs="Times New Roman"/>
          <w:b/>
          <w:bCs/>
          <w:color w:val="000000"/>
          <w:sz w:val="24"/>
          <w:szCs w:val="24"/>
        </w:rPr>
        <w:t>（此表：综合型60分制+个性指标40分制，总分100分）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6586"/>
        <w:gridCol w:w="839"/>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一级</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w:t>
            </w:r>
          </w:p>
        </w:tc>
        <w:tc>
          <w:tcPr>
            <w:tcW w:w="6586"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二级指标</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指标类别</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培训</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辅导</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（创客）</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（40%）</w:t>
            </w: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考核期内举办创业教育培训次数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创新创业导师数量与专职导师比例</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培训课程体系完善程度</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考核期内组织或承办有一定影响力的创新创业大赛次数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考核期内市级及以上创新创业大赛的获奖数量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线上服务平台的建设情况</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bl>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国际合作型众创空间评价指标体系</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r>
        <w:rPr>
          <w:rFonts w:hint="default" w:ascii="Times New Roman" w:hAnsi="Times New Roman" w:eastAsia="宋体" w:cs="Times New Roman"/>
          <w:b/>
          <w:bCs/>
          <w:color w:val="000000"/>
          <w:sz w:val="24"/>
          <w:szCs w:val="24"/>
        </w:rPr>
        <w:t>（此表：综合型60分制+个性指标40分制，总分100分）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6586"/>
        <w:gridCol w:w="839"/>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一级</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w:t>
            </w:r>
          </w:p>
        </w:tc>
        <w:tc>
          <w:tcPr>
            <w:tcW w:w="6586"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二级指标</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指标类别</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国际</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合作</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（40%）</w:t>
            </w: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考核期内组织国际合作交流活动数量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考核期内参加“海创周”等国际交流活动次数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考核期内吸纳海外项目入驻数量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考核期内吸纳留学归国创新创业团队数量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考核期内接受众创空间帮助开拓国际市场的入驻项目团队和企业数量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考核期内与境外机构共建孵化载体数量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考核期内与国际技术转移机构合作情况</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bl>
    <w:p>
      <w:pPr>
        <w:keepNext w:val="0"/>
        <w:keepLines w:val="0"/>
        <w:pageBreakBefore w:val="0"/>
        <w:kinsoku/>
        <w:bidi w:val="0"/>
        <w:spacing w:line="560" w:lineRule="exact"/>
        <w:rPr>
          <w:rFonts w:hint="default" w:ascii="Times New Roman" w:hAnsi="Times New Roman" w:eastAsia="宋体" w:cs="Times New Roman"/>
          <w:color w:val="000000"/>
          <w:sz w:val="24"/>
          <w:szCs w:val="24"/>
          <w:shd w:val="clear" w:color="auto" w:fill="FFFFFF"/>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p>
    <w:p>
      <w:pPr>
        <w:pStyle w:val="2"/>
        <w:rPr>
          <w:rFonts w:hint="default" w:ascii="Times New Roman" w:hAnsi="Times New Roman" w:eastAsia="方正小标宋简体" w:cs="Times New Roman"/>
          <w:b w:val="0"/>
          <w:bCs w:val="0"/>
          <w:color w:val="000000"/>
          <w:sz w:val="36"/>
          <w:szCs w:val="36"/>
        </w:rPr>
      </w:pPr>
    </w:p>
    <w:p>
      <w:pPr>
        <w:pStyle w:val="2"/>
        <w:rPr>
          <w:rFonts w:hint="default" w:ascii="Times New Roman" w:hAnsi="Times New Roman" w:eastAsia="方正小标宋简体" w:cs="Times New Roman"/>
          <w:b w:val="0"/>
          <w:bCs w:val="0"/>
          <w:color w:val="000000"/>
          <w:sz w:val="36"/>
          <w:szCs w:val="36"/>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产业生态孵化型众创空间评价指标体系</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r>
        <w:rPr>
          <w:rFonts w:hint="default" w:ascii="Times New Roman" w:hAnsi="Times New Roman" w:eastAsia="宋体" w:cs="Times New Roman"/>
          <w:b/>
          <w:bCs/>
          <w:color w:val="000000"/>
          <w:sz w:val="24"/>
          <w:szCs w:val="24"/>
        </w:rPr>
        <w:t>（此表：综合型60分制+个性指标40分制，总分100分）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6586"/>
        <w:gridCol w:w="839"/>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一级</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w:t>
            </w:r>
          </w:p>
        </w:tc>
        <w:tc>
          <w:tcPr>
            <w:tcW w:w="6586"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二级指标</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指标类别</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产业</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生态</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孵化</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（40%）</w:t>
            </w: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考核期内为入驻项目团队和企业提供检验检测、研发设计、小试中试、技术咨询等技术创新服务次数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考核期内入驻项目团队和企业拥有的发明专利数量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面向产业发展提供服务的专业化研究开发平台建设情况</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推荐孵化器和加速器的项目数量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与高新技术园区的合作建设情况</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主导产业集中度情况</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bl>
    <w:p>
      <w:pPr>
        <w:keepNext w:val="0"/>
        <w:keepLines w:val="0"/>
        <w:pageBreakBefore w:val="0"/>
        <w:kinsoku/>
        <w:bidi w:val="0"/>
        <w:spacing w:line="560" w:lineRule="exact"/>
        <w:rPr>
          <w:rFonts w:hint="default" w:ascii="Times New Roman" w:hAnsi="Times New Roman" w:eastAsia="宋体" w:cs="Times New Roman"/>
          <w:color w:val="000000"/>
          <w:sz w:val="24"/>
          <w:szCs w:val="24"/>
          <w:shd w:val="clear" w:color="auto" w:fill="FFFFFF"/>
        </w:rPr>
      </w:pPr>
    </w:p>
    <w:p>
      <w:pPr>
        <w:pStyle w:val="2"/>
        <w:rPr>
          <w:rFonts w:hint="default" w:ascii="Times New Roman" w:hAnsi="Times New Roman" w:eastAsia="宋体" w:cs="Times New Roman"/>
          <w:color w:val="000000"/>
          <w:sz w:val="24"/>
          <w:szCs w:val="24"/>
          <w:shd w:val="clear" w:color="auto" w:fill="FFFFFF"/>
        </w:rPr>
      </w:pPr>
    </w:p>
    <w:p>
      <w:pPr>
        <w:pStyle w:val="2"/>
        <w:rPr>
          <w:rFonts w:hint="default" w:ascii="Times New Roman" w:hAnsi="Times New Roman" w:eastAsia="宋体" w:cs="Times New Roman"/>
          <w:color w:val="000000"/>
          <w:sz w:val="24"/>
          <w:szCs w:val="24"/>
          <w:shd w:val="clear" w:color="auto" w:fill="FFFFFF"/>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大中小融通型众创空间评价指标体系</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r>
        <w:rPr>
          <w:rFonts w:hint="default" w:ascii="Times New Roman" w:hAnsi="Times New Roman" w:eastAsia="宋体" w:cs="Times New Roman"/>
          <w:b/>
          <w:bCs/>
          <w:color w:val="000000"/>
          <w:sz w:val="24"/>
          <w:szCs w:val="24"/>
        </w:rPr>
        <w:t>（此表：综合型60分制+个性指标40分制，总分100分）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6235"/>
        <w:gridCol w:w="1190"/>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一级</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w:t>
            </w:r>
          </w:p>
        </w:tc>
        <w:tc>
          <w:tcPr>
            <w:tcW w:w="6235"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二级指标</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指标类别</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大中小融通</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（40%）</w:t>
            </w:r>
          </w:p>
        </w:tc>
        <w:tc>
          <w:tcPr>
            <w:tcW w:w="6235"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依托大企业和产业特色鲜明的高校及科研院所情况</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235"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开展科技成果转化项目数量</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235"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大企业、大院大所研发、销售、供应链、仪器设备等优势资源向中小企业共享情况</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235"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大企业、大院大所开放研发、销售、供应链、仪器设备等优势资源服务次数</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235"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大企业、大院大所对中小企业开展项目选育及资源导入机制建设情况</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235"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依托大企业、大院大所培育中小项目数量</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r>
    </w:tbl>
    <w:p>
      <w:pPr>
        <w:keepNext w:val="0"/>
        <w:keepLines w:val="0"/>
        <w:pageBreakBefore w:val="0"/>
        <w:kinsoku/>
        <w:bidi w:val="0"/>
        <w:spacing w:line="560" w:lineRule="exact"/>
        <w:rPr>
          <w:rFonts w:hint="default" w:ascii="Times New Roman" w:hAnsi="Times New Roman" w:eastAsia="宋体" w:cs="Times New Roman"/>
          <w:color w:val="000000"/>
          <w:sz w:val="24"/>
          <w:szCs w:val="24"/>
          <w:shd w:val="clear" w:color="auto" w:fill="FFFFFF"/>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军民融合型众创空间评价指标体系</w:t>
      </w:r>
    </w:p>
    <w:p>
      <w:pPr>
        <w:keepNext w:val="0"/>
        <w:keepLines w:val="0"/>
        <w:pageBreakBefore w:val="0"/>
        <w:kinsoku/>
        <w:bidi w:val="0"/>
        <w:spacing w:line="560" w:lineRule="exact"/>
        <w:jc w:val="center"/>
        <w:rPr>
          <w:rFonts w:hint="default" w:ascii="Times New Roman" w:hAnsi="Times New Roman" w:eastAsia="宋体" w:cs="Times New Roman"/>
          <w:b/>
          <w:bCs/>
          <w:color w:val="000000"/>
          <w:sz w:val="24"/>
          <w:szCs w:val="24"/>
        </w:rPr>
      </w:pPr>
      <w:r>
        <w:rPr>
          <w:rFonts w:hint="default" w:ascii="Times New Roman" w:hAnsi="Times New Roman" w:eastAsia="宋体" w:cs="Times New Roman"/>
          <w:b/>
          <w:bCs/>
          <w:color w:val="000000"/>
          <w:sz w:val="24"/>
          <w:szCs w:val="24"/>
        </w:rPr>
        <w:t>（此表：综合型60分制+个性指标40分制，总分100分）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6586"/>
        <w:gridCol w:w="839"/>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一级</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w:t>
            </w:r>
          </w:p>
        </w:tc>
        <w:tc>
          <w:tcPr>
            <w:tcW w:w="6586"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二级指标</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指标类别</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军民</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融合</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（40%）</w:t>
            </w: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考核期内科技成果转化项目数（武器、装备、军需类等）</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考核期内民参军项目数量与当年项目总数的比例</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考核期内依托于军队的相关资源进行的军转民项目数量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与军民融合科技服务机构合作情况</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定性</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考核期内具备“三证”的企业数量占入驻项目团队和企业总数的比例</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7"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p>
        </w:tc>
        <w:tc>
          <w:tcPr>
            <w:tcW w:w="6586"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开展军民科技供需对接次数</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定量</w:t>
            </w:r>
          </w:p>
        </w:tc>
        <w:tc>
          <w:tcPr>
            <w:tcW w:w="839"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r>
    </w:tbl>
    <w:p>
      <w:pPr>
        <w:keepNext w:val="0"/>
        <w:keepLines w:val="0"/>
        <w:pageBreakBefore w:val="0"/>
        <w:kinsoku/>
        <w:bidi w:val="0"/>
        <w:spacing w:line="560" w:lineRule="exact"/>
        <w:ind w:right="1194" w:firstLine="105" w:firstLineChars="44"/>
        <w:jc w:val="left"/>
        <w:rPr>
          <w:rFonts w:hint="default" w:ascii="Times New Roman" w:hAnsi="Times New Roman" w:eastAsia="宋体" w:cs="Times New Roman"/>
          <w:color w:val="000000"/>
          <w:sz w:val="24"/>
          <w:szCs w:val="24"/>
        </w:rPr>
        <w:sectPr>
          <w:footerReference r:id="rId3" w:type="default"/>
          <w:pgSz w:w="11906" w:h="16838"/>
          <w:pgMar w:top="1213" w:right="1236" w:bottom="1213" w:left="1236" w:header="851" w:footer="992" w:gutter="0"/>
          <w:pgNumType w:fmt="decimal" w:start="1"/>
          <w:cols w:space="720" w:num="1"/>
          <w:rtlGutter w:val="0"/>
          <w:docGrid w:type="linesAndChars" w:linePitch="584" w:charSpace="0"/>
        </w:sectPr>
      </w:pPr>
    </w:p>
    <w:p>
      <w:bookmarkStart w:id="0" w:name="_GoBack"/>
      <w:bookmarkEnd w:id="0"/>
    </w:p>
    <w:sectPr>
      <w:footerReference r:id="rId4" w:type="default"/>
      <w:footerReference r:id="rId5"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sz w:val="18"/>
      </w:rPr>
      <w:pict>
        <v:shape id="_x0000_s2049" o:spid="_x0000_s2049" o:spt="202" type="#_x0000_t202" style="position:absolute;left:0pt;margin-top:0pt;height:144pt;width:144pt;mso-position-horizontal:outside;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14"/>
                  <w:jc w:val="center"/>
                </w:pPr>
                <w:r>
                  <w:rPr>
                    <w:rFonts w:hint="eastAsia"/>
                    <w:sz w:val="21"/>
                    <w:szCs w:val="21"/>
                    <w:lang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1</w:t>
                </w:r>
                <w:r>
                  <w:rPr>
                    <w:rFonts w:hint="default" w:ascii="Times New Roman" w:hAnsi="Times New Roman" w:cs="Times New Roman"/>
                    <w:sz w:val="21"/>
                    <w:szCs w:val="21"/>
                    <w:lang w:val="zh-CN"/>
                  </w:rPr>
                  <w:fldChar w:fldCharType="end"/>
                </w:r>
                <w:r>
                  <w:rPr>
                    <w:rFonts w:hint="eastAsia"/>
                    <w:sz w:val="21"/>
                    <w:szCs w:val="21"/>
                    <w:lang w:eastAsia="zh-CN"/>
                  </w:rPr>
                  <w:t>—</w:t>
                </w:r>
              </w:p>
            </w:txbxContent>
          </v:textbox>
        </v:shape>
      </w:pict>
    </w:r>
  </w:p>
  <w:p>
    <w:pPr>
      <w:pStyle w:val="1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drawingGridHorizontalSpacing w:val="164"/>
  <w:drawingGridVerticalSpacing w:val="291"/>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56493006"/>
    <w:rsid w:val="6DF76A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 w:type="paragraph" w:customStyle="1" w:styleId="107">
    <w:name w:val="样式1"/>
    <w:basedOn w:val="1"/>
    <w:qFormat/>
    <w:uiPriority w:val="0"/>
    <w:pPr>
      <w:snapToGrid w:val="0"/>
      <w:spacing w:line="360" w:lineRule="auto"/>
      <w:ind w:firstLine="200" w:firstLineChars="200"/>
    </w:pPr>
    <w:rPr>
      <w:rFonts w:cs="Times New Roman"/>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2023-11-22T16:38:19Z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