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bidi w:val="0"/>
        <w:spacing w:line="560" w:lineRule="exact"/>
        <w:jc w:val="center"/>
        <w:rPr>
          <w:rFonts w:hint="default" w:ascii="Times New Roman" w:hAnsi="Times New Roman" w:eastAsia="方正小标宋简体" w:cs="Times New Roman"/>
          <w:i w:val="0"/>
          <w:caps w:val="0"/>
          <w:color w:val="000000"/>
          <w:spacing w:val="0"/>
          <w:sz w:val="36"/>
          <w:szCs w:val="36"/>
        </w:rPr>
      </w:pPr>
      <w:r>
        <w:rPr>
          <w:rFonts w:hint="default" w:ascii="Times New Roman" w:hAnsi="Times New Roman" w:eastAsia="方正小标宋简体" w:cs="Times New Roman"/>
          <w:i w:val="0"/>
          <w:caps w:val="0"/>
          <w:color w:val="000000"/>
          <w:spacing w:val="0"/>
          <w:sz w:val="36"/>
          <w:szCs w:val="36"/>
          <w:shd w:val="clear" w:color="auto" w:fill="FFFFFF"/>
        </w:rPr>
        <w:t>关于进一步抓好企业研发费用税前加计扣除政策落实的通知</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bidi w:val="0"/>
        <w:spacing w:before="0" w:beforeAutospacing="0" w:after="150" w:afterAutospacing="0" w:line="560" w:lineRule="exact"/>
        <w:ind w:left="0" w:right="0" w:firstLine="0"/>
        <w:jc w:val="center"/>
        <w:rPr>
          <w:rFonts w:hint="default" w:ascii="Times New Roman" w:hAnsi="Times New Roman" w:eastAsia="方正楷体_GBK" w:cs="Times New Roman"/>
          <w:i w:val="0"/>
          <w:caps w:val="0"/>
          <w:color w:val="000000"/>
          <w:spacing w:val="0"/>
          <w:sz w:val="24"/>
          <w:szCs w:val="24"/>
        </w:rPr>
      </w:pPr>
      <w:r>
        <w:rPr>
          <w:rFonts w:hint="default" w:ascii="Times New Roman" w:hAnsi="Times New Roman" w:eastAsia="方正楷体_GBK" w:cs="Times New Roman"/>
          <w:i w:val="0"/>
          <w:caps w:val="0"/>
          <w:color w:val="000000"/>
          <w:spacing w:val="0"/>
          <w:sz w:val="24"/>
          <w:szCs w:val="24"/>
          <w:shd w:val="clear" w:color="auto" w:fill="FFFFFF"/>
        </w:rPr>
        <w:t>辽科发〔2017〕54号</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150" w:afterAutospacing="0" w:line="520" w:lineRule="exact"/>
        <w:ind w:left="0" w:right="0" w:firstLine="0"/>
        <w:textAlignment w:val="auto"/>
        <w:rPr>
          <w:rFonts w:hint="default" w:ascii="Times New Roman" w:hAnsi="Times New Roman" w:eastAsia="宋体" w:cs="Times New Roman"/>
          <w:i w:val="0"/>
          <w:caps w:val="0"/>
          <w:color w:val="000000"/>
          <w:spacing w:val="0"/>
          <w:sz w:val="24"/>
          <w:szCs w:val="24"/>
        </w:rPr>
      </w:pPr>
      <w:r>
        <w:rPr>
          <w:rFonts w:hint="default" w:ascii="Times New Roman" w:hAnsi="Times New Roman" w:eastAsia="宋体" w:cs="Times New Roman"/>
          <w:i w:val="0"/>
          <w:caps w:val="0"/>
          <w:color w:val="000000"/>
          <w:spacing w:val="0"/>
          <w:sz w:val="24"/>
          <w:szCs w:val="24"/>
          <w:shd w:val="clear" w:color="auto" w:fill="FFFFFF"/>
        </w:rPr>
        <w:t>各市科技局、财政局、国税局、地税局：</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150" w:afterAutospacing="0" w:line="520" w:lineRule="exact"/>
        <w:ind w:right="0" w:firstLine="480" w:firstLineChars="200"/>
        <w:textAlignment w:val="auto"/>
        <w:rPr>
          <w:rFonts w:hint="default" w:ascii="Times New Roman" w:hAnsi="Times New Roman" w:eastAsia="宋体" w:cs="Times New Roman"/>
          <w:i w:val="0"/>
          <w:caps w:val="0"/>
          <w:color w:val="000000"/>
          <w:spacing w:val="0"/>
          <w:sz w:val="24"/>
          <w:szCs w:val="24"/>
        </w:rPr>
      </w:pPr>
      <w:r>
        <w:rPr>
          <w:rFonts w:hint="default" w:ascii="Times New Roman" w:hAnsi="Times New Roman" w:eastAsia="宋体" w:cs="Times New Roman"/>
          <w:i w:val="0"/>
          <w:caps w:val="0"/>
          <w:color w:val="000000"/>
          <w:spacing w:val="0"/>
          <w:sz w:val="24"/>
          <w:szCs w:val="24"/>
          <w:shd w:val="clear" w:color="auto" w:fill="FFFFFF"/>
        </w:rPr>
        <w:t>为贯彻实施创新驱动发展战略，鼓励和支持企业技术创新，近年来，国家相关部门先后印发了《财政部国家税务总局 科技部关于完善研究开发费用税前加计扣除政策的通知》（财税〔2015〕119号）、《财政部 税务总局 科技部关于提高科技型中小企业研究开发费用税前加计扣除比例的通知》（财税〔2017〕34号）、《科技部 财政部 国家税务总局关于印发〈科技型中小企业评价办法〉的通知》（国科发政〔2017〕115号）等一系列文件，特别是近期印发的《科技部 财政部国家税务总局关于进一步做好企业研发费用加计扣除政策落实工作的通知》（国科发政〔2017〕211号）和《国家税务总局 科技部关于加强企业研发费用税前加计扣除政策贯彻落实工作的通知》（税总发〔2017〕106号），对加强政策宣传、完善工作机制、简化管理方式、优化操作流程、确保政策落地见效等，进一步明确了相关要求。为切实做好我省企业研发费用税前加计扣除政策落实工作，结合实际，现提出如下具体措施。</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150" w:afterAutospacing="0" w:line="520" w:lineRule="exact"/>
        <w:ind w:left="0" w:right="0" w:firstLine="480" w:firstLineChars="200"/>
        <w:textAlignment w:val="auto"/>
        <w:rPr>
          <w:rFonts w:hint="default" w:ascii="Times New Roman" w:hAnsi="Times New Roman" w:eastAsia="方正黑体_GBK" w:cs="Times New Roman"/>
          <w:i w:val="0"/>
          <w:caps w:val="0"/>
          <w:color w:val="000000"/>
          <w:spacing w:val="0"/>
          <w:sz w:val="24"/>
          <w:szCs w:val="24"/>
        </w:rPr>
      </w:pPr>
      <w:r>
        <w:rPr>
          <w:rFonts w:hint="default" w:ascii="Times New Roman" w:hAnsi="Times New Roman" w:eastAsia="方正黑体_GBK" w:cs="Times New Roman"/>
          <w:i w:val="0"/>
          <w:caps w:val="0"/>
          <w:color w:val="000000"/>
          <w:spacing w:val="0"/>
          <w:sz w:val="24"/>
          <w:szCs w:val="24"/>
          <w:shd w:val="clear" w:color="auto" w:fill="FFFFFF"/>
        </w:rPr>
        <w:t>一、加强组织领导</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150" w:afterAutospacing="0" w:line="520" w:lineRule="exact"/>
        <w:ind w:left="0" w:right="0" w:firstLine="480" w:firstLineChars="200"/>
        <w:textAlignment w:val="auto"/>
        <w:rPr>
          <w:rFonts w:hint="default" w:ascii="Times New Roman" w:hAnsi="Times New Roman" w:eastAsia="宋体" w:cs="Times New Roman"/>
          <w:i w:val="0"/>
          <w:caps w:val="0"/>
          <w:color w:val="000000"/>
          <w:spacing w:val="0"/>
          <w:sz w:val="24"/>
          <w:szCs w:val="24"/>
        </w:rPr>
      </w:pPr>
      <w:r>
        <w:rPr>
          <w:rFonts w:hint="default" w:ascii="Times New Roman" w:hAnsi="Times New Roman" w:eastAsia="宋体" w:cs="Times New Roman"/>
          <w:i w:val="0"/>
          <w:caps w:val="0"/>
          <w:color w:val="000000"/>
          <w:spacing w:val="0"/>
          <w:sz w:val="24"/>
          <w:szCs w:val="24"/>
          <w:shd w:val="clear" w:color="auto" w:fill="FFFFFF"/>
        </w:rPr>
        <w:t>各级科技、财政、税务部门要站在贯彻落实创新驱动发展战略、深化供给侧结构性改革、加快建设科技强省的高度，把落实好研发费加计扣除政策作为本单位的一项重要工作，加强组织领导，增强服务意识，精心谋划部署，落实管理责任，依据相关政策及管理规定强化有关事项的事前、事中、事后管理和服务，积极稳妥地做好研发费用税前加计扣除政策的贯彻落实工作，积极推进企业创新发展。</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150" w:afterAutospacing="0" w:line="520" w:lineRule="exact"/>
        <w:ind w:left="0" w:right="0" w:firstLine="480" w:firstLineChars="200"/>
        <w:textAlignment w:val="auto"/>
        <w:rPr>
          <w:rFonts w:hint="default" w:ascii="Times New Roman" w:hAnsi="Times New Roman" w:eastAsia="方正黑体_GBK" w:cs="Times New Roman"/>
          <w:i w:val="0"/>
          <w:caps w:val="0"/>
          <w:color w:val="000000"/>
          <w:spacing w:val="0"/>
          <w:sz w:val="24"/>
          <w:szCs w:val="24"/>
          <w:shd w:val="clear" w:color="auto" w:fill="FFFFFF"/>
        </w:rPr>
      </w:pPr>
      <w:r>
        <w:rPr>
          <w:rFonts w:hint="default" w:ascii="Times New Roman" w:hAnsi="Times New Roman" w:eastAsia="方正黑体_GBK" w:cs="Times New Roman"/>
          <w:i w:val="0"/>
          <w:caps w:val="0"/>
          <w:color w:val="000000"/>
          <w:spacing w:val="0"/>
          <w:sz w:val="24"/>
          <w:szCs w:val="24"/>
          <w:shd w:val="clear" w:color="auto" w:fill="FFFFFF"/>
        </w:rPr>
        <w:t>二、建立协同工作机制</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150" w:afterAutospacing="0" w:line="520" w:lineRule="exact"/>
        <w:ind w:left="0" w:right="0" w:firstLine="480" w:firstLineChars="200"/>
        <w:textAlignment w:val="auto"/>
        <w:rPr>
          <w:rFonts w:hint="default" w:ascii="Times New Roman" w:hAnsi="Times New Roman" w:eastAsia="宋体" w:cs="Times New Roman"/>
          <w:i w:val="0"/>
          <w:caps w:val="0"/>
          <w:color w:val="000000"/>
          <w:spacing w:val="0"/>
          <w:sz w:val="24"/>
          <w:szCs w:val="24"/>
        </w:rPr>
      </w:pPr>
      <w:r>
        <w:rPr>
          <w:rFonts w:hint="default" w:ascii="Times New Roman" w:hAnsi="Times New Roman" w:eastAsia="宋体" w:cs="Times New Roman"/>
          <w:i w:val="0"/>
          <w:caps w:val="0"/>
          <w:color w:val="000000"/>
          <w:spacing w:val="0"/>
          <w:sz w:val="24"/>
          <w:szCs w:val="24"/>
          <w:shd w:val="clear" w:color="auto" w:fill="FFFFFF"/>
        </w:rPr>
        <w:t>省科技、财政、税务主管部门建立联合推进企业研发费用税前加计扣除政策落实的工作协调机制，加强工作衔接，统一政策口径和办理流程，及时研究解决政策落实过程中出现的矛盾和问题。各市亦要建立相应的工作协调机制，积极引导企业规范研发项目管理和费用归集，切实加强对企业的事前、事中和事后的管理服务，确保政策落实到位。</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150" w:afterAutospacing="0" w:line="520" w:lineRule="exact"/>
        <w:ind w:left="0" w:right="0" w:firstLine="480" w:firstLineChars="200"/>
        <w:textAlignment w:val="auto"/>
        <w:rPr>
          <w:rFonts w:hint="default" w:ascii="Times New Roman" w:hAnsi="Times New Roman" w:eastAsia="方正黑体_GBK" w:cs="Times New Roman"/>
          <w:i w:val="0"/>
          <w:caps w:val="0"/>
          <w:color w:val="000000"/>
          <w:spacing w:val="0"/>
          <w:sz w:val="24"/>
          <w:szCs w:val="24"/>
        </w:rPr>
      </w:pPr>
      <w:r>
        <w:rPr>
          <w:rFonts w:hint="default" w:ascii="Times New Roman" w:hAnsi="Times New Roman" w:eastAsia="方正黑体_GBK" w:cs="Times New Roman"/>
          <w:i w:val="0"/>
          <w:caps w:val="0"/>
          <w:color w:val="000000"/>
          <w:spacing w:val="0"/>
          <w:sz w:val="24"/>
          <w:szCs w:val="24"/>
          <w:shd w:val="clear" w:color="auto" w:fill="FFFFFF"/>
        </w:rPr>
        <w:t>三、简化异议项目鉴定管理方式</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150" w:afterAutospacing="0" w:line="520" w:lineRule="exact"/>
        <w:ind w:left="0" w:right="0" w:firstLine="480" w:firstLineChars="200"/>
        <w:textAlignment w:val="auto"/>
        <w:rPr>
          <w:rFonts w:hint="default" w:ascii="Times New Roman" w:hAnsi="Times New Roman" w:eastAsia="宋体" w:cs="Times New Roman"/>
          <w:i w:val="0"/>
          <w:caps w:val="0"/>
          <w:color w:val="000000"/>
          <w:spacing w:val="0"/>
          <w:sz w:val="24"/>
          <w:szCs w:val="24"/>
        </w:rPr>
      </w:pPr>
      <w:r>
        <w:rPr>
          <w:rFonts w:hint="default" w:ascii="Times New Roman" w:hAnsi="Times New Roman" w:eastAsia="宋体" w:cs="Times New Roman"/>
          <w:i w:val="0"/>
          <w:caps w:val="0"/>
          <w:color w:val="000000"/>
          <w:spacing w:val="0"/>
          <w:sz w:val="24"/>
          <w:szCs w:val="24"/>
          <w:shd w:val="clear" w:color="auto" w:fill="FFFFFF"/>
        </w:rPr>
        <w:t>1.在汇算清缴过程中，税务部门对企业享受加计扣除优惠政策的研发项目确有异议时，应当分期分批将相关项目资料通过县（区）科技部门报送至所在市科技部门进行鉴定。</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150" w:afterAutospacing="0" w:line="520" w:lineRule="exact"/>
        <w:ind w:left="0" w:right="0" w:firstLine="480" w:firstLineChars="200"/>
        <w:textAlignment w:val="auto"/>
        <w:rPr>
          <w:rFonts w:hint="default" w:ascii="Times New Roman" w:hAnsi="Times New Roman" w:eastAsia="宋体" w:cs="Times New Roman"/>
          <w:i w:val="0"/>
          <w:caps w:val="0"/>
          <w:color w:val="000000"/>
          <w:spacing w:val="0"/>
          <w:sz w:val="24"/>
          <w:szCs w:val="24"/>
        </w:rPr>
      </w:pPr>
      <w:r>
        <w:rPr>
          <w:rFonts w:hint="default" w:ascii="Times New Roman" w:hAnsi="Times New Roman" w:eastAsia="宋体" w:cs="Times New Roman"/>
          <w:i w:val="0"/>
          <w:caps w:val="0"/>
          <w:color w:val="000000"/>
          <w:spacing w:val="0"/>
          <w:sz w:val="24"/>
          <w:szCs w:val="24"/>
          <w:shd w:val="clear" w:color="auto" w:fill="FFFFFF"/>
        </w:rPr>
        <w:t>2.市科技部门在收到鉴定申请后，应在15个工作日内组织专家进行鉴定，并通过原渠道将鉴定意见反馈至税务机关。在鉴定时，应由3名以上产业、技术、管理等相关领域的专家参加。</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150" w:afterAutospacing="0" w:line="520" w:lineRule="exact"/>
        <w:ind w:left="0" w:right="0" w:firstLine="480" w:firstLineChars="200"/>
        <w:textAlignment w:val="auto"/>
        <w:rPr>
          <w:rFonts w:hint="default" w:ascii="Times New Roman" w:hAnsi="Times New Roman" w:eastAsia="宋体" w:cs="Times New Roman"/>
          <w:i w:val="0"/>
          <w:caps w:val="0"/>
          <w:color w:val="000000"/>
          <w:spacing w:val="0"/>
          <w:sz w:val="24"/>
          <w:szCs w:val="24"/>
        </w:rPr>
      </w:pPr>
      <w:r>
        <w:rPr>
          <w:rFonts w:hint="default" w:ascii="Times New Roman" w:hAnsi="Times New Roman" w:eastAsia="宋体" w:cs="Times New Roman"/>
          <w:i w:val="0"/>
          <w:caps w:val="0"/>
          <w:color w:val="000000"/>
          <w:spacing w:val="0"/>
          <w:sz w:val="24"/>
          <w:szCs w:val="24"/>
          <w:shd w:val="clear" w:color="auto" w:fill="FFFFFF"/>
        </w:rPr>
        <w:t>3.税务部门对市科技部门出具的鉴定意见有异议的，可转请省科技部门复查并出具鉴定意见。</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150" w:afterAutospacing="0" w:line="520" w:lineRule="exact"/>
        <w:ind w:left="0" w:right="0" w:firstLine="480" w:firstLineChars="200"/>
        <w:textAlignment w:val="auto"/>
        <w:rPr>
          <w:rFonts w:hint="default" w:ascii="Times New Roman" w:hAnsi="Times New Roman" w:eastAsia="宋体" w:cs="Times New Roman"/>
          <w:i w:val="0"/>
          <w:caps w:val="0"/>
          <w:color w:val="000000"/>
          <w:spacing w:val="0"/>
          <w:sz w:val="24"/>
          <w:szCs w:val="24"/>
        </w:rPr>
      </w:pPr>
      <w:r>
        <w:rPr>
          <w:rFonts w:hint="default" w:ascii="Times New Roman" w:hAnsi="Times New Roman" w:eastAsia="宋体" w:cs="Times New Roman"/>
          <w:i w:val="0"/>
          <w:caps w:val="0"/>
          <w:color w:val="000000"/>
          <w:spacing w:val="0"/>
          <w:sz w:val="24"/>
          <w:szCs w:val="24"/>
          <w:shd w:val="clear" w:color="auto" w:fill="FFFFFF"/>
        </w:rPr>
        <w:t>4. 税务部门在对企业享受的研发费用加计扣除优惠事项开展事后核查中，对企业研发项目有异议的，可按照以上程序送科技部门鉴定。</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150" w:afterAutospacing="0" w:line="520" w:lineRule="exact"/>
        <w:ind w:left="0" w:right="0" w:firstLine="480" w:firstLineChars="200"/>
        <w:textAlignment w:val="auto"/>
        <w:rPr>
          <w:rFonts w:hint="default" w:ascii="Times New Roman" w:hAnsi="Times New Roman" w:eastAsia="宋体" w:cs="Times New Roman"/>
          <w:i w:val="0"/>
          <w:caps w:val="0"/>
          <w:color w:val="000000"/>
          <w:spacing w:val="0"/>
          <w:sz w:val="24"/>
          <w:szCs w:val="24"/>
        </w:rPr>
      </w:pPr>
      <w:r>
        <w:rPr>
          <w:rFonts w:hint="default" w:ascii="Times New Roman" w:hAnsi="Times New Roman" w:eastAsia="宋体" w:cs="Times New Roman"/>
          <w:i w:val="0"/>
          <w:caps w:val="0"/>
          <w:color w:val="000000"/>
          <w:spacing w:val="0"/>
          <w:sz w:val="24"/>
          <w:szCs w:val="24"/>
          <w:shd w:val="clear" w:color="auto" w:fill="FFFFFF"/>
        </w:rPr>
        <w:t>5.优化委托研发项目与合作研发项目合同登记管理方式。凡研发项目合同具备技术合同登记的实质要素，仅在形式上与技术合同示范文本存在差异的，应当予以登记。各级税务部门和科技部门不得要求企业重新按照技术合同示范文本进行修改报送。</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150" w:afterAutospacing="0" w:line="520" w:lineRule="exact"/>
        <w:ind w:left="0" w:right="0" w:firstLine="480" w:firstLineChars="200"/>
        <w:textAlignment w:val="auto"/>
        <w:rPr>
          <w:rFonts w:hint="default" w:ascii="Times New Roman" w:hAnsi="Times New Roman" w:eastAsia="宋体" w:cs="Times New Roman"/>
          <w:i w:val="0"/>
          <w:caps w:val="0"/>
          <w:color w:val="000000"/>
          <w:spacing w:val="0"/>
          <w:sz w:val="24"/>
          <w:szCs w:val="24"/>
        </w:rPr>
      </w:pPr>
      <w:r>
        <w:rPr>
          <w:rFonts w:hint="default" w:ascii="Times New Roman" w:hAnsi="Times New Roman" w:eastAsia="宋体" w:cs="Times New Roman"/>
          <w:i w:val="0"/>
          <w:caps w:val="0"/>
          <w:color w:val="000000"/>
          <w:spacing w:val="0"/>
          <w:sz w:val="24"/>
          <w:szCs w:val="24"/>
          <w:shd w:val="clear" w:color="auto" w:fill="FFFFFF"/>
        </w:rPr>
        <w:t>6.对企业承担的市级（含）以上科研项目，以及以前年度已经鉴定的跨年度研发项目，税务部门不再要求进行鉴定。</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150" w:afterAutospacing="0" w:line="520" w:lineRule="exact"/>
        <w:ind w:left="0" w:right="0" w:firstLine="480" w:firstLineChars="200"/>
        <w:textAlignment w:val="auto"/>
        <w:rPr>
          <w:rFonts w:hint="default" w:ascii="Times New Roman" w:hAnsi="Times New Roman" w:eastAsia="宋体" w:cs="Times New Roman"/>
          <w:i w:val="0"/>
          <w:caps w:val="0"/>
          <w:color w:val="000000"/>
          <w:spacing w:val="0"/>
          <w:sz w:val="24"/>
          <w:szCs w:val="24"/>
        </w:rPr>
      </w:pPr>
      <w:r>
        <w:rPr>
          <w:rFonts w:hint="default" w:ascii="Times New Roman" w:hAnsi="Times New Roman" w:eastAsia="宋体" w:cs="Times New Roman"/>
          <w:i w:val="0"/>
          <w:caps w:val="0"/>
          <w:color w:val="000000"/>
          <w:spacing w:val="0"/>
          <w:sz w:val="24"/>
          <w:szCs w:val="24"/>
          <w:shd w:val="clear" w:color="auto" w:fill="FFFFFF"/>
        </w:rPr>
        <w:t>7.开展企业研发项目鉴定所需的工作经费，应纳入部门经费预算，由同级财政给予保障，不得向企业收取任何费用。</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150" w:afterAutospacing="0" w:line="520" w:lineRule="exact"/>
        <w:ind w:left="0" w:right="0" w:firstLine="480" w:firstLineChars="200"/>
        <w:textAlignment w:val="auto"/>
        <w:rPr>
          <w:rFonts w:hint="default" w:ascii="Times New Roman" w:hAnsi="Times New Roman" w:eastAsia="宋体" w:cs="Times New Roman"/>
          <w:i w:val="0"/>
          <w:caps w:val="0"/>
          <w:color w:val="000000"/>
          <w:spacing w:val="0"/>
          <w:sz w:val="24"/>
          <w:szCs w:val="24"/>
        </w:rPr>
      </w:pPr>
      <w:r>
        <w:rPr>
          <w:rFonts w:hint="default" w:ascii="Times New Roman" w:hAnsi="Times New Roman" w:eastAsia="宋体" w:cs="Times New Roman"/>
          <w:i w:val="0"/>
          <w:caps w:val="0"/>
          <w:color w:val="000000"/>
          <w:spacing w:val="0"/>
          <w:sz w:val="24"/>
          <w:szCs w:val="24"/>
          <w:shd w:val="clear" w:color="auto" w:fill="FFFFFF"/>
        </w:rPr>
        <w:t>8.税务、科技部门要各司其职，认真领会国家文件规定和要求，本着“减少程序，集中办理，降低成本”的原则，尽量减少研发项目异议鉴定数量和批次，每年送科技部门进行鉴定的项目数量，原则上不超过受理项目总数的30%。特殊情况由税务部门与科技部门另行商定办理。</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150" w:afterAutospacing="0" w:line="520" w:lineRule="exact"/>
        <w:ind w:left="0" w:right="0" w:firstLine="480" w:firstLineChars="200"/>
        <w:textAlignment w:val="auto"/>
        <w:rPr>
          <w:rFonts w:hint="default" w:ascii="Times New Roman" w:hAnsi="Times New Roman" w:eastAsia="方正黑体_GBK" w:cs="Times New Roman"/>
          <w:i w:val="0"/>
          <w:caps w:val="0"/>
          <w:color w:val="000000"/>
          <w:spacing w:val="0"/>
          <w:sz w:val="24"/>
          <w:szCs w:val="24"/>
        </w:rPr>
      </w:pPr>
      <w:r>
        <w:rPr>
          <w:rFonts w:hint="default" w:ascii="Times New Roman" w:hAnsi="Times New Roman" w:eastAsia="方正黑体_GBK" w:cs="Times New Roman"/>
          <w:i w:val="0"/>
          <w:caps w:val="0"/>
          <w:color w:val="000000"/>
          <w:spacing w:val="0"/>
          <w:sz w:val="24"/>
          <w:szCs w:val="24"/>
          <w:shd w:val="clear" w:color="auto" w:fill="FFFFFF"/>
        </w:rPr>
        <w:t>四、加强政策服务</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150" w:afterAutospacing="0" w:line="520" w:lineRule="exact"/>
        <w:ind w:left="0" w:right="0" w:firstLine="480" w:firstLineChars="200"/>
        <w:textAlignment w:val="auto"/>
        <w:rPr>
          <w:rFonts w:hint="default" w:ascii="Times New Roman" w:hAnsi="Times New Roman" w:eastAsia="宋体" w:cs="Times New Roman"/>
          <w:i w:val="0"/>
          <w:caps w:val="0"/>
          <w:color w:val="000000"/>
          <w:spacing w:val="0"/>
          <w:sz w:val="24"/>
          <w:szCs w:val="24"/>
        </w:rPr>
      </w:pPr>
      <w:r>
        <w:rPr>
          <w:rFonts w:hint="default" w:ascii="Times New Roman" w:hAnsi="Times New Roman" w:eastAsia="宋体" w:cs="Times New Roman"/>
          <w:i w:val="0"/>
          <w:caps w:val="0"/>
          <w:color w:val="000000"/>
          <w:spacing w:val="0"/>
          <w:sz w:val="24"/>
          <w:szCs w:val="24"/>
          <w:shd w:val="clear" w:color="auto" w:fill="FFFFFF"/>
        </w:rPr>
        <w:t>1.加强政策宣传。各市、县（区）科技、财政、税务部门要充分利用门户网站、微信、微博、APP等平台开展多维度、多渠道的政策宣传，提醒纳税人及时申报享受研发费用税前加计扣除政策。税务部门和科技部门要联合开展政策培训辅导活动，精准锁定政策受惠企业群体，通过举办专题培训班、印发宣传手册、开展“键对键”的网上沟通、“面对面”的精准辅导等多种方式，为企业提供研发项目管理和研发费用归集等政策辅导，帮助企业技术和财务管理人员准确了解掌握研发费用归集范围、申报流程和相关要求，及时为企业答疑解惑，实现“应知尽知”，确保“应享尽享”。</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150" w:afterAutospacing="0" w:line="520" w:lineRule="exact"/>
        <w:ind w:left="0" w:right="0" w:firstLine="480" w:firstLineChars="200"/>
        <w:textAlignment w:val="auto"/>
        <w:rPr>
          <w:rFonts w:hint="default" w:ascii="Times New Roman" w:hAnsi="Times New Roman" w:eastAsia="宋体" w:cs="Times New Roman"/>
          <w:i w:val="0"/>
          <w:caps w:val="0"/>
          <w:color w:val="000000"/>
          <w:spacing w:val="0"/>
          <w:sz w:val="24"/>
          <w:szCs w:val="24"/>
        </w:rPr>
      </w:pPr>
      <w:r>
        <w:rPr>
          <w:rFonts w:hint="default" w:ascii="Times New Roman" w:hAnsi="Times New Roman" w:eastAsia="宋体" w:cs="Times New Roman"/>
          <w:i w:val="0"/>
          <w:caps w:val="0"/>
          <w:color w:val="000000"/>
          <w:spacing w:val="0"/>
          <w:sz w:val="24"/>
          <w:szCs w:val="24"/>
          <w:shd w:val="clear" w:color="auto" w:fill="FFFFFF"/>
        </w:rPr>
        <w:t>2.加大政策落实力度。有条件的市、县（区）可建立信息化服务平台，为企业提供自我评价、材料提交、工作流转与信息传递等服务，提高工作效率，降低企业成本。对尚处于亏损期的企业，进一步加大服务力度，引导企业及时办理税务备案等相关手续。要督促广大科技型中小企业按照《科技型中小企业评价办法》（国科发政〔2017〕115号）规定，到“全国科技型中小企业信息服务平台”进行自主评价和登记，及时取得登记编号。</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150" w:afterAutospacing="0" w:line="520" w:lineRule="exact"/>
        <w:ind w:left="0" w:right="0" w:firstLine="480" w:firstLineChars="200"/>
        <w:textAlignment w:val="auto"/>
        <w:rPr>
          <w:rFonts w:hint="default" w:ascii="Times New Roman" w:hAnsi="Times New Roman" w:eastAsia="宋体" w:cs="Times New Roman"/>
          <w:i w:val="0"/>
          <w:caps w:val="0"/>
          <w:color w:val="000000"/>
          <w:spacing w:val="0"/>
          <w:sz w:val="24"/>
          <w:szCs w:val="24"/>
        </w:rPr>
      </w:pPr>
      <w:r>
        <w:rPr>
          <w:rFonts w:hint="default" w:ascii="Times New Roman" w:hAnsi="Times New Roman" w:eastAsia="宋体" w:cs="Times New Roman"/>
          <w:i w:val="0"/>
          <w:caps w:val="0"/>
          <w:color w:val="000000"/>
          <w:spacing w:val="0"/>
          <w:sz w:val="24"/>
          <w:szCs w:val="24"/>
          <w:shd w:val="clear" w:color="auto" w:fill="FFFFFF"/>
        </w:rPr>
        <w:t>3.强化督导检查。各市科技、财政、税务部门要开展联合督导检查，加大对政策落实的督导力度，密切跟踪政策执行情况，随时收集基层和纳税人对政策落实的情况意见建议，加强部门间的信息沟通，确保优惠政策落地见效。省科技、财政、税务部门将适时开展督导检查。各市在落实政策过程中出现的问题及相关意见，要及时报省科技厅、省财政厅、省国税局、省地税局。</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150" w:afterAutospacing="0" w:line="520" w:lineRule="exact"/>
        <w:ind w:left="0" w:right="0" w:firstLine="0"/>
        <w:textAlignment w:val="auto"/>
        <w:rPr>
          <w:rFonts w:hint="default" w:ascii="Times New Roman" w:hAnsi="Times New Roman" w:eastAsia="宋体" w:cs="Times New Roman"/>
          <w:i w:val="0"/>
          <w:caps w:val="0"/>
          <w:color w:val="000000"/>
          <w:spacing w:val="0"/>
          <w:sz w:val="24"/>
          <w:szCs w:val="24"/>
        </w:rPr>
      </w:pPr>
      <w:r>
        <w:rPr>
          <w:rFonts w:hint="default" w:ascii="Times New Roman" w:hAnsi="Times New Roman" w:eastAsia="宋体" w:cs="Times New Roman"/>
          <w:i w:val="0"/>
          <w:caps w:val="0"/>
          <w:color w:val="000000"/>
          <w:spacing w:val="0"/>
          <w:sz w:val="24"/>
          <w:szCs w:val="24"/>
          <w:shd w:val="clear" w:color="auto" w:fill="FFFFFF"/>
        </w:rPr>
        <w:t>附件：辽宁省企业研究开发费用税前加计扣除项目鉴定工作指引（试行）</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150" w:afterAutospacing="0" w:line="520" w:lineRule="exact"/>
        <w:ind w:left="0" w:right="0" w:firstLine="0"/>
        <w:jc w:val="right"/>
        <w:textAlignment w:val="auto"/>
        <w:rPr>
          <w:rFonts w:hint="default" w:ascii="Times New Roman" w:hAnsi="Times New Roman" w:eastAsia="宋体" w:cs="Times New Roman"/>
          <w:i w:val="0"/>
          <w:caps w:val="0"/>
          <w:color w:val="000000"/>
          <w:spacing w:val="0"/>
          <w:sz w:val="24"/>
          <w:szCs w:val="24"/>
        </w:rPr>
      </w:pPr>
      <w:r>
        <w:rPr>
          <w:rFonts w:hint="default" w:ascii="Times New Roman" w:hAnsi="Times New Roman" w:eastAsia="宋体" w:cs="Times New Roman"/>
          <w:i w:val="0"/>
          <w:caps w:val="0"/>
          <w:color w:val="000000"/>
          <w:spacing w:val="0"/>
          <w:sz w:val="24"/>
          <w:szCs w:val="24"/>
          <w:shd w:val="clear" w:color="auto" w:fill="FFFFFF"/>
        </w:rPr>
        <w:t>辽宁省科学技术厅 辽宁省财政厅</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150" w:afterAutospacing="0" w:line="520" w:lineRule="exact"/>
        <w:ind w:left="0" w:right="0" w:firstLine="0"/>
        <w:jc w:val="right"/>
        <w:textAlignment w:val="auto"/>
        <w:rPr>
          <w:rFonts w:hint="default" w:ascii="Times New Roman" w:hAnsi="Times New Roman" w:eastAsia="宋体" w:cs="Times New Roman"/>
          <w:i w:val="0"/>
          <w:caps w:val="0"/>
          <w:color w:val="000000"/>
          <w:spacing w:val="0"/>
          <w:sz w:val="24"/>
          <w:szCs w:val="24"/>
        </w:rPr>
      </w:pPr>
      <w:r>
        <w:rPr>
          <w:rFonts w:hint="default" w:ascii="Times New Roman" w:hAnsi="Times New Roman" w:eastAsia="宋体" w:cs="Times New Roman"/>
          <w:i w:val="0"/>
          <w:caps w:val="0"/>
          <w:color w:val="000000"/>
          <w:spacing w:val="0"/>
          <w:sz w:val="24"/>
          <w:szCs w:val="24"/>
          <w:shd w:val="clear" w:color="auto" w:fill="FFFFFF"/>
        </w:rPr>
        <w:t>辽宁省国家税务局 辽宁省地方税务局</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0" w:beforeAutospacing="0" w:after="150" w:afterAutospacing="0" w:line="520" w:lineRule="exact"/>
        <w:ind w:left="0" w:right="0" w:firstLine="0"/>
        <w:jc w:val="right"/>
        <w:textAlignment w:val="auto"/>
        <w:rPr>
          <w:rFonts w:hint="default" w:ascii="Times New Roman" w:hAnsi="Times New Roman" w:eastAsia="宋体" w:cs="Times New Roman"/>
          <w:i w:val="0"/>
          <w:caps w:val="0"/>
          <w:color w:val="000000"/>
          <w:spacing w:val="0"/>
          <w:sz w:val="24"/>
          <w:szCs w:val="24"/>
          <w:lang w:val="en-US" w:eastAsia="zh-CN"/>
        </w:rPr>
      </w:pPr>
      <w:r>
        <w:rPr>
          <w:rFonts w:hint="default" w:ascii="Times New Roman" w:hAnsi="Times New Roman" w:eastAsia="宋体" w:cs="Times New Roman"/>
          <w:i w:val="0"/>
          <w:caps w:val="0"/>
          <w:color w:val="000000"/>
          <w:spacing w:val="0"/>
          <w:sz w:val="24"/>
          <w:szCs w:val="24"/>
          <w:shd w:val="clear" w:color="auto" w:fill="FFFFFF"/>
        </w:rPr>
        <w:t>2017年11月29日</w:t>
      </w:r>
      <w:r>
        <w:rPr>
          <w:rFonts w:hint="eastAsia" w:ascii="Times New Roman" w:hAnsi="Times New Roman" w:cs="Times New Roman"/>
          <w:i w:val="0"/>
          <w:caps w:val="0"/>
          <w:color w:val="000000"/>
          <w:spacing w:val="0"/>
          <w:sz w:val="24"/>
          <w:szCs w:val="24"/>
          <w:shd w:val="clear" w:color="auto" w:fill="FFFFFF"/>
          <w:lang w:val="en-US" w:eastAsia="zh-CN"/>
        </w:rPr>
        <w:t xml:space="preserve">     </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150" w:afterAutospacing="0" w:line="520" w:lineRule="exact"/>
        <w:ind w:left="0" w:right="0" w:firstLine="0"/>
        <w:textAlignment w:val="auto"/>
        <w:rPr>
          <w:rFonts w:hint="default" w:ascii="Times New Roman" w:hAnsi="Times New Roman" w:eastAsia="宋体" w:cs="Times New Roman"/>
          <w:i w:val="0"/>
          <w:caps w:val="0"/>
          <w:color w:val="000000"/>
          <w:spacing w:val="0"/>
          <w:sz w:val="24"/>
          <w:szCs w:val="24"/>
          <w:lang w:eastAsia="zh-CN"/>
        </w:rPr>
      </w:pPr>
      <w:r>
        <w:rPr>
          <w:rFonts w:hint="default" w:ascii="Times New Roman" w:hAnsi="Times New Roman" w:cs="Times New Roman"/>
          <w:i w:val="0"/>
          <w:caps w:val="0"/>
          <w:color w:val="000000"/>
          <w:spacing w:val="0"/>
          <w:sz w:val="24"/>
          <w:szCs w:val="24"/>
          <w:shd w:val="clear" w:color="auto" w:fill="FFFFFF"/>
          <w:lang w:eastAsia="zh-CN"/>
        </w:rPr>
        <w:t>（</w:t>
      </w:r>
      <w:r>
        <w:rPr>
          <w:rFonts w:hint="default" w:ascii="Times New Roman" w:hAnsi="Times New Roman" w:eastAsia="宋体" w:cs="Times New Roman"/>
          <w:i w:val="0"/>
          <w:caps w:val="0"/>
          <w:color w:val="000000"/>
          <w:spacing w:val="0"/>
          <w:sz w:val="24"/>
          <w:szCs w:val="24"/>
          <w:shd w:val="clear" w:color="auto" w:fill="FFFFFF"/>
        </w:rPr>
        <w:t>此件主动公开</w:t>
      </w:r>
      <w:r>
        <w:rPr>
          <w:rFonts w:hint="default" w:ascii="Times New Roman" w:hAnsi="Times New Roman" w:cs="Times New Roman"/>
          <w:i w:val="0"/>
          <w:caps w:val="0"/>
          <w:color w:val="000000"/>
          <w:spacing w:val="0"/>
          <w:sz w:val="24"/>
          <w:szCs w:val="24"/>
          <w:shd w:val="clear" w:color="auto" w:fill="FFFFFF"/>
          <w:lang w:eastAsia="zh-CN"/>
        </w:rPr>
        <w:t>）</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bidi w:val="0"/>
        <w:spacing w:before="0" w:beforeAutospacing="0" w:after="150" w:afterAutospacing="0" w:line="560" w:lineRule="exact"/>
        <w:ind w:left="0" w:right="0" w:firstLine="0"/>
        <w:rPr>
          <w:rFonts w:hint="default" w:ascii="Times New Roman" w:hAnsi="Times New Roman" w:eastAsia="宋体" w:cs="Times New Roman"/>
          <w:i w:val="0"/>
          <w:caps w:val="0"/>
          <w:color w:val="000000"/>
          <w:spacing w:val="0"/>
          <w:sz w:val="24"/>
          <w:szCs w:val="24"/>
          <w:shd w:val="clear" w:color="auto" w:fill="FFFFFF"/>
        </w:rPr>
      </w:pPr>
    </w:p>
    <w:p>
      <w:bookmarkStart w:id="0" w:name="_GoBack"/>
      <w:bookmarkEnd w:id="0"/>
    </w:p>
    <w:sectPr>
      <w:footerReference r:id="rId3" w:type="default"/>
      <w:footerReference r:id="rId4" w:type="even"/>
      <w:pgSz w:w="11906" w:h="16838"/>
      <w:pgMar w:top="2098" w:right="1474" w:bottom="1871" w:left="1588" w:header="851" w:footer="992" w:gutter="0"/>
      <w:cols w:space="425" w:num="1"/>
      <w:docGrid w:linePitch="582" w:charSpace="240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方正仿宋_GBK">
    <w:panose1 w:val="02000000000000000000"/>
    <w:charset w:val="86"/>
    <w:family w:val="script"/>
    <w:pitch w:val="default"/>
    <w:sig w:usb0="00000001" w:usb1="08000000" w:usb2="00000000" w:usb3="00000000" w:csb0="00040000" w:csb1="00000000"/>
  </w:font>
  <w:font w:name="Tahoma">
    <w:altName w:val="Droid Sans"/>
    <w:panose1 w:val="020B0604030504040204"/>
    <w:charset w:val="00"/>
    <w:family w:val="swiss"/>
    <w:pitch w:val="default"/>
    <w:sig w:usb0="00000000" w:usb1="00000000" w:usb2="00000029" w:usb3="00000000" w:csb0="200101FF" w:csb1="20280000"/>
  </w:font>
  <w:font w:name="仿宋">
    <w:panose1 w:val="02010609060101010101"/>
    <w:charset w:val="86"/>
    <w:family w:val="modern"/>
    <w:pitch w:val="default"/>
    <w:sig w:usb0="800002BF" w:usb1="38CF7CFA" w:usb2="00000016" w:usb3="00000000" w:csb0="00040001" w:csb1="00000000"/>
  </w:font>
  <w:font w:name="微软雅黑">
    <w:altName w:val="黑体"/>
    <w:panose1 w:val="020B0503020204020204"/>
    <w:charset w:val="86"/>
    <w:family w:val="swiss"/>
    <w:pitch w:val="default"/>
    <w:sig w:usb0="00000000" w:usb1="00000000" w:usb2="00000016" w:usb3="00000000" w:csb0="0004001F" w:csb1="00000000"/>
  </w:font>
  <w:font w:name="Verdana">
    <w:altName w:val="Ubuntu"/>
    <w:panose1 w:val="020B0604030504040204"/>
    <w:charset w:val="00"/>
    <w:family w:val="swiss"/>
    <w:pitch w:val="default"/>
    <w:sig w:usb0="00000000" w:usb1="00000000" w:usb2="00000010" w:usb3="00000000" w:csb0="2000019F" w:csb1="00000000"/>
  </w:font>
  <w:font w:name="等线">
    <w:altName w:val="仿宋"/>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Droid Sans">
    <w:panose1 w:val="020B0606030804020204"/>
    <w:charset w:val="00"/>
    <w:family w:val="auto"/>
    <w:pitch w:val="default"/>
    <w:sig w:usb0="E00002EF" w:usb1="4000205B" w:usb2="00000028" w:usb3="00000000" w:csb0="2000019F" w:csb1="00000000"/>
  </w:font>
  <w:font w:name="Ubuntu">
    <w:panose1 w:val="020B0604030602030204"/>
    <w:charset w:val="00"/>
    <w:family w:val="auto"/>
    <w:pitch w:val="default"/>
    <w:sig w:usb0="E00002FF" w:usb1="5000205B" w:usb2="00000000" w:usb3="00000000" w:csb0="2000009F" w:csb1="56010000"/>
  </w:font>
  <w:font w:name="方正小标宋简体">
    <w:panose1 w:val="02000000000000000000"/>
    <w:charset w:val="86"/>
    <w:family w:val="auto"/>
    <w:pitch w:val="default"/>
    <w:sig w:usb0="A00002BF" w:usb1="184F6CFA" w:usb2="00000012" w:usb3="00000000" w:csb0="00040001" w:csb1="0000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仿宋" w:hAnsi="仿宋" w:eastAsia="仿宋"/>
        <w:sz w:val="30"/>
        <w:szCs w:val="30"/>
      </w:rPr>
      <w:id w:val="262588470"/>
      <w:docPartObj>
        <w:docPartGallery w:val="autotext"/>
      </w:docPartObj>
    </w:sdtPr>
    <w:sdtEndPr>
      <w:rPr>
        <w:rFonts w:ascii="仿宋" w:hAnsi="仿宋" w:eastAsia="仿宋"/>
        <w:sz w:val="24"/>
        <w:szCs w:val="24"/>
      </w:rPr>
    </w:sdtEndPr>
    <w:sdtContent>
      <w:p>
        <w:pPr>
          <w:pStyle w:val="14"/>
          <w:jc w:val="right"/>
          <w:rPr>
            <w:rFonts w:ascii="仿宋" w:hAnsi="仿宋" w:eastAsia="仿宋"/>
            <w:sz w:val="24"/>
            <w:szCs w:val="24"/>
          </w:rPr>
        </w:pPr>
        <w:r>
          <w:rPr>
            <w:rFonts w:ascii="仿宋" w:hAnsi="仿宋" w:eastAsia="仿宋"/>
            <w:sz w:val="24"/>
            <w:szCs w:val="24"/>
          </w:rPr>
          <w:t xml:space="preserve">— </w:t>
        </w:r>
        <w:r>
          <w:rPr>
            <w:rFonts w:ascii="仿宋" w:hAnsi="仿宋" w:eastAsia="仿宋"/>
            <w:sz w:val="24"/>
            <w:szCs w:val="24"/>
          </w:rPr>
          <w:fldChar w:fldCharType="begin"/>
        </w:r>
        <w:r>
          <w:rPr>
            <w:rFonts w:ascii="仿宋" w:hAnsi="仿宋" w:eastAsia="仿宋"/>
            <w:sz w:val="24"/>
            <w:szCs w:val="24"/>
          </w:rPr>
          <w:instrText xml:space="preserve"> PAGE  \* MERGEFORMAT </w:instrText>
        </w:r>
        <w:r>
          <w:rPr>
            <w:rFonts w:ascii="仿宋" w:hAnsi="仿宋" w:eastAsia="仿宋"/>
            <w:sz w:val="24"/>
            <w:szCs w:val="24"/>
          </w:rPr>
          <w:fldChar w:fldCharType="separate"/>
        </w:r>
        <w:r>
          <w:rPr>
            <w:rFonts w:ascii="仿宋" w:hAnsi="仿宋" w:eastAsia="仿宋"/>
            <w:sz w:val="24"/>
            <w:szCs w:val="24"/>
          </w:rPr>
          <w:t>3</w:t>
        </w:r>
        <w:r>
          <w:rPr>
            <w:rFonts w:ascii="仿宋" w:hAnsi="仿宋" w:eastAsia="仿宋"/>
            <w:sz w:val="24"/>
            <w:szCs w:val="24"/>
          </w:rPr>
          <w:fldChar w:fldCharType="end"/>
        </w:r>
        <w:r>
          <w:rPr>
            <w:rFonts w:ascii="仿宋" w:hAnsi="仿宋" w:eastAsia="仿宋"/>
            <w:sz w:val="24"/>
            <w:szCs w:val="24"/>
          </w:rP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仿宋" w:hAnsi="仿宋" w:eastAsia="仿宋"/>
        <w:sz w:val="30"/>
        <w:szCs w:val="30"/>
      </w:rPr>
      <w:id w:val="8365290"/>
      <w:docPartObj>
        <w:docPartGallery w:val="autotext"/>
      </w:docPartObj>
    </w:sdtPr>
    <w:sdtEndPr>
      <w:rPr>
        <w:rFonts w:ascii="仿宋" w:hAnsi="仿宋" w:eastAsia="仿宋"/>
        <w:sz w:val="24"/>
        <w:szCs w:val="24"/>
      </w:rPr>
    </w:sdtEndPr>
    <w:sdtContent>
      <w:p>
        <w:pPr>
          <w:pStyle w:val="14"/>
          <w:rPr>
            <w:rFonts w:ascii="仿宋" w:hAnsi="仿宋" w:eastAsia="仿宋"/>
            <w:sz w:val="24"/>
            <w:szCs w:val="24"/>
          </w:rPr>
        </w:pPr>
        <w:r>
          <w:rPr>
            <w:rFonts w:ascii="仿宋" w:hAnsi="仿宋" w:eastAsia="仿宋"/>
            <w:sz w:val="24"/>
            <w:szCs w:val="24"/>
          </w:rPr>
          <w:t xml:space="preserve">— </w:t>
        </w:r>
        <w:r>
          <w:rPr>
            <w:rFonts w:ascii="仿宋" w:hAnsi="仿宋" w:eastAsia="仿宋"/>
            <w:sz w:val="24"/>
            <w:szCs w:val="24"/>
          </w:rPr>
          <w:fldChar w:fldCharType="begin"/>
        </w:r>
        <w:r>
          <w:rPr>
            <w:rFonts w:ascii="仿宋" w:hAnsi="仿宋" w:eastAsia="仿宋"/>
            <w:sz w:val="24"/>
            <w:szCs w:val="24"/>
          </w:rPr>
          <w:instrText xml:space="preserve"> PAGE  \* MERGEFORMAT </w:instrText>
        </w:r>
        <w:r>
          <w:rPr>
            <w:rFonts w:ascii="仿宋" w:hAnsi="仿宋" w:eastAsia="仿宋"/>
            <w:sz w:val="24"/>
            <w:szCs w:val="24"/>
          </w:rPr>
          <w:fldChar w:fldCharType="separate"/>
        </w:r>
        <w:r>
          <w:rPr>
            <w:rFonts w:ascii="仿宋" w:hAnsi="仿宋" w:eastAsia="仿宋"/>
            <w:sz w:val="24"/>
            <w:szCs w:val="24"/>
          </w:rPr>
          <w:t>2</w:t>
        </w:r>
        <w:r>
          <w:rPr>
            <w:rFonts w:ascii="仿宋" w:hAnsi="仿宋" w:eastAsia="仿宋"/>
            <w:sz w:val="24"/>
            <w:szCs w:val="24"/>
          </w:rPr>
          <w:fldChar w:fldCharType="end"/>
        </w:r>
        <w:r>
          <w:rPr>
            <w:rFonts w:ascii="仿宋" w:hAnsi="仿宋" w:eastAsia="仿宋"/>
            <w:sz w:val="24"/>
            <w:szCs w:val="24"/>
          </w:rPr>
          <w:t xml:space="preserve"> —</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true"/>
  <w:bordersDoNotSurroundFooter w:val="true"/>
  <w:documentProtection w:enforcement="0"/>
  <w:defaultTabStop w:val="420"/>
  <w:evenAndOddHeaders w:val="true"/>
  <w:drawingGridHorizontalSpacing w:val="164"/>
  <w:drawingGridVerticalSpacing w:val="291"/>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633CD"/>
    <w:rsid w:val="00002F0E"/>
    <w:rsid w:val="00003E06"/>
    <w:rsid w:val="00006D0F"/>
    <w:rsid w:val="00027C79"/>
    <w:rsid w:val="00027EF4"/>
    <w:rsid w:val="00034506"/>
    <w:rsid w:val="000437A2"/>
    <w:rsid w:val="00047927"/>
    <w:rsid w:val="00056921"/>
    <w:rsid w:val="0006106D"/>
    <w:rsid w:val="00075466"/>
    <w:rsid w:val="00077460"/>
    <w:rsid w:val="000833A3"/>
    <w:rsid w:val="00086B89"/>
    <w:rsid w:val="00086C6B"/>
    <w:rsid w:val="00087433"/>
    <w:rsid w:val="00090070"/>
    <w:rsid w:val="0009272C"/>
    <w:rsid w:val="000927CA"/>
    <w:rsid w:val="00095BE7"/>
    <w:rsid w:val="000A7A91"/>
    <w:rsid w:val="000D4944"/>
    <w:rsid w:val="000D4A00"/>
    <w:rsid w:val="000D5D75"/>
    <w:rsid w:val="000F473E"/>
    <w:rsid w:val="000F7710"/>
    <w:rsid w:val="00113BF9"/>
    <w:rsid w:val="001232BC"/>
    <w:rsid w:val="00130F7A"/>
    <w:rsid w:val="0013736B"/>
    <w:rsid w:val="00143E1B"/>
    <w:rsid w:val="001476AF"/>
    <w:rsid w:val="00151A69"/>
    <w:rsid w:val="00153929"/>
    <w:rsid w:val="00155E28"/>
    <w:rsid w:val="00161DF5"/>
    <w:rsid w:val="001760E5"/>
    <w:rsid w:val="00191AC5"/>
    <w:rsid w:val="0019332E"/>
    <w:rsid w:val="001B4AFE"/>
    <w:rsid w:val="001F04E0"/>
    <w:rsid w:val="001F0DD6"/>
    <w:rsid w:val="001F2959"/>
    <w:rsid w:val="001F2D30"/>
    <w:rsid w:val="0020138C"/>
    <w:rsid w:val="00205A42"/>
    <w:rsid w:val="002072FE"/>
    <w:rsid w:val="00217A19"/>
    <w:rsid w:val="00235659"/>
    <w:rsid w:val="00252444"/>
    <w:rsid w:val="00254371"/>
    <w:rsid w:val="00255A3C"/>
    <w:rsid w:val="00256126"/>
    <w:rsid w:val="00264A7A"/>
    <w:rsid w:val="002760F3"/>
    <w:rsid w:val="00281A58"/>
    <w:rsid w:val="00285560"/>
    <w:rsid w:val="00286D20"/>
    <w:rsid w:val="00291ACE"/>
    <w:rsid w:val="002A01BA"/>
    <w:rsid w:val="002A6945"/>
    <w:rsid w:val="002B3782"/>
    <w:rsid w:val="002B5C1E"/>
    <w:rsid w:val="002C4DA1"/>
    <w:rsid w:val="002E452C"/>
    <w:rsid w:val="002E4C50"/>
    <w:rsid w:val="00300BF5"/>
    <w:rsid w:val="00312155"/>
    <w:rsid w:val="00326AFB"/>
    <w:rsid w:val="0033778E"/>
    <w:rsid w:val="003407A4"/>
    <w:rsid w:val="003518DD"/>
    <w:rsid w:val="00355A26"/>
    <w:rsid w:val="0036102F"/>
    <w:rsid w:val="003848DE"/>
    <w:rsid w:val="003A0BE0"/>
    <w:rsid w:val="003A6DC4"/>
    <w:rsid w:val="003A7184"/>
    <w:rsid w:val="003B7205"/>
    <w:rsid w:val="003C1CC5"/>
    <w:rsid w:val="003C7632"/>
    <w:rsid w:val="003E0389"/>
    <w:rsid w:val="00415DAD"/>
    <w:rsid w:val="00424BB8"/>
    <w:rsid w:val="00426670"/>
    <w:rsid w:val="004416EB"/>
    <w:rsid w:val="004476D8"/>
    <w:rsid w:val="00466045"/>
    <w:rsid w:val="00466AD7"/>
    <w:rsid w:val="004A3D3F"/>
    <w:rsid w:val="004B70D8"/>
    <w:rsid w:val="004C5128"/>
    <w:rsid w:val="004E31CF"/>
    <w:rsid w:val="0053588E"/>
    <w:rsid w:val="00541597"/>
    <w:rsid w:val="00542131"/>
    <w:rsid w:val="005454B3"/>
    <w:rsid w:val="005468A5"/>
    <w:rsid w:val="0055276D"/>
    <w:rsid w:val="00555D41"/>
    <w:rsid w:val="005641A1"/>
    <w:rsid w:val="0057400A"/>
    <w:rsid w:val="005753AB"/>
    <w:rsid w:val="0057715A"/>
    <w:rsid w:val="005846E2"/>
    <w:rsid w:val="0058535E"/>
    <w:rsid w:val="00596CEE"/>
    <w:rsid w:val="005B0B5D"/>
    <w:rsid w:val="005B1791"/>
    <w:rsid w:val="005B7167"/>
    <w:rsid w:val="005C45B6"/>
    <w:rsid w:val="005E57E9"/>
    <w:rsid w:val="005E6FA0"/>
    <w:rsid w:val="005F4FBE"/>
    <w:rsid w:val="005F5746"/>
    <w:rsid w:val="00605456"/>
    <w:rsid w:val="00605F68"/>
    <w:rsid w:val="00613C46"/>
    <w:rsid w:val="00617237"/>
    <w:rsid w:val="0062370D"/>
    <w:rsid w:val="00625C92"/>
    <w:rsid w:val="00630A60"/>
    <w:rsid w:val="00632D1C"/>
    <w:rsid w:val="00642C2B"/>
    <w:rsid w:val="00645674"/>
    <w:rsid w:val="006501A4"/>
    <w:rsid w:val="00654101"/>
    <w:rsid w:val="00661090"/>
    <w:rsid w:val="006636DE"/>
    <w:rsid w:val="006705CF"/>
    <w:rsid w:val="00676CD8"/>
    <w:rsid w:val="00680ED3"/>
    <w:rsid w:val="0068493B"/>
    <w:rsid w:val="006850EC"/>
    <w:rsid w:val="006863AC"/>
    <w:rsid w:val="006A0BF1"/>
    <w:rsid w:val="006A39A9"/>
    <w:rsid w:val="006B22F4"/>
    <w:rsid w:val="006B7AE6"/>
    <w:rsid w:val="006C3160"/>
    <w:rsid w:val="006C60FB"/>
    <w:rsid w:val="006C74D1"/>
    <w:rsid w:val="006D7B00"/>
    <w:rsid w:val="006E2B3B"/>
    <w:rsid w:val="006E30D2"/>
    <w:rsid w:val="006F5EBE"/>
    <w:rsid w:val="007003E8"/>
    <w:rsid w:val="0071754F"/>
    <w:rsid w:val="00733A24"/>
    <w:rsid w:val="007370CC"/>
    <w:rsid w:val="00747B3C"/>
    <w:rsid w:val="007553B5"/>
    <w:rsid w:val="00770E1C"/>
    <w:rsid w:val="00773F6F"/>
    <w:rsid w:val="00775040"/>
    <w:rsid w:val="0078034D"/>
    <w:rsid w:val="007812E8"/>
    <w:rsid w:val="007915B8"/>
    <w:rsid w:val="00795082"/>
    <w:rsid w:val="007A0FCB"/>
    <w:rsid w:val="007A37E8"/>
    <w:rsid w:val="007B6DC4"/>
    <w:rsid w:val="007B7E1B"/>
    <w:rsid w:val="007E0CA3"/>
    <w:rsid w:val="007E7387"/>
    <w:rsid w:val="007F0BFD"/>
    <w:rsid w:val="007F4E69"/>
    <w:rsid w:val="008107D8"/>
    <w:rsid w:val="0081157C"/>
    <w:rsid w:val="0081401E"/>
    <w:rsid w:val="0082372C"/>
    <w:rsid w:val="00831AF9"/>
    <w:rsid w:val="00840151"/>
    <w:rsid w:val="008469EA"/>
    <w:rsid w:val="008616B5"/>
    <w:rsid w:val="00865E73"/>
    <w:rsid w:val="0087623A"/>
    <w:rsid w:val="00883319"/>
    <w:rsid w:val="00890BC1"/>
    <w:rsid w:val="008A060C"/>
    <w:rsid w:val="008A6653"/>
    <w:rsid w:val="008C0606"/>
    <w:rsid w:val="008C08A6"/>
    <w:rsid w:val="008C4800"/>
    <w:rsid w:val="008C6C6F"/>
    <w:rsid w:val="008D1D56"/>
    <w:rsid w:val="008D6DD7"/>
    <w:rsid w:val="009009A2"/>
    <w:rsid w:val="00901B00"/>
    <w:rsid w:val="009070B1"/>
    <w:rsid w:val="00920E55"/>
    <w:rsid w:val="00921BE4"/>
    <w:rsid w:val="00924082"/>
    <w:rsid w:val="00937E5C"/>
    <w:rsid w:val="00942858"/>
    <w:rsid w:val="009432F2"/>
    <w:rsid w:val="00944A74"/>
    <w:rsid w:val="009527BC"/>
    <w:rsid w:val="00952925"/>
    <w:rsid w:val="0095576E"/>
    <w:rsid w:val="00960427"/>
    <w:rsid w:val="00964CA3"/>
    <w:rsid w:val="0097554C"/>
    <w:rsid w:val="0099346A"/>
    <w:rsid w:val="009A163E"/>
    <w:rsid w:val="009A2B1F"/>
    <w:rsid w:val="009A6CBC"/>
    <w:rsid w:val="009D38AD"/>
    <w:rsid w:val="009D3F9A"/>
    <w:rsid w:val="009D7440"/>
    <w:rsid w:val="009E27B8"/>
    <w:rsid w:val="009E28EC"/>
    <w:rsid w:val="009E3B1F"/>
    <w:rsid w:val="009E7A85"/>
    <w:rsid w:val="009E7B27"/>
    <w:rsid w:val="00A13809"/>
    <w:rsid w:val="00A21900"/>
    <w:rsid w:val="00A2337D"/>
    <w:rsid w:val="00A43B31"/>
    <w:rsid w:val="00A46E6C"/>
    <w:rsid w:val="00A52507"/>
    <w:rsid w:val="00A571BB"/>
    <w:rsid w:val="00A573D9"/>
    <w:rsid w:val="00A736EB"/>
    <w:rsid w:val="00A94FE8"/>
    <w:rsid w:val="00AA1517"/>
    <w:rsid w:val="00AA358C"/>
    <w:rsid w:val="00AA3B6B"/>
    <w:rsid w:val="00AB1D7B"/>
    <w:rsid w:val="00AC3869"/>
    <w:rsid w:val="00AC66B8"/>
    <w:rsid w:val="00AE0158"/>
    <w:rsid w:val="00AE0627"/>
    <w:rsid w:val="00AE2650"/>
    <w:rsid w:val="00AF1418"/>
    <w:rsid w:val="00AF370A"/>
    <w:rsid w:val="00AF63A2"/>
    <w:rsid w:val="00B00B57"/>
    <w:rsid w:val="00B0170B"/>
    <w:rsid w:val="00B17E3D"/>
    <w:rsid w:val="00B23D84"/>
    <w:rsid w:val="00B27172"/>
    <w:rsid w:val="00B439E5"/>
    <w:rsid w:val="00B4668E"/>
    <w:rsid w:val="00B50946"/>
    <w:rsid w:val="00B56BB2"/>
    <w:rsid w:val="00B633CD"/>
    <w:rsid w:val="00B709CD"/>
    <w:rsid w:val="00B729C3"/>
    <w:rsid w:val="00B758E2"/>
    <w:rsid w:val="00B843C6"/>
    <w:rsid w:val="00B9633D"/>
    <w:rsid w:val="00B96584"/>
    <w:rsid w:val="00B97DE0"/>
    <w:rsid w:val="00BA3B4D"/>
    <w:rsid w:val="00BB577A"/>
    <w:rsid w:val="00BC0EE3"/>
    <w:rsid w:val="00BD630E"/>
    <w:rsid w:val="00BE080E"/>
    <w:rsid w:val="00BE506D"/>
    <w:rsid w:val="00BE69D1"/>
    <w:rsid w:val="00BF287F"/>
    <w:rsid w:val="00C0192B"/>
    <w:rsid w:val="00C03A3F"/>
    <w:rsid w:val="00C12273"/>
    <w:rsid w:val="00C14CBE"/>
    <w:rsid w:val="00C251AC"/>
    <w:rsid w:val="00C44345"/>
    <w:rsid w:val="00C452BD"/>
    <w:rsid w:val="00C62647"/>
    <w:rsid w:val="00C67953"/>
    <w:rsid w:val="00C6796F"/>
    <w:rsid w:val="00C701F8"/>
    <w:rsid w:val="00C7540B"/>
    <w:rsid w:val="00C768F7"/>
    <w:rsid w:val="00CA3CFC"/>
    <w:rsid w:val="00CB34DA"/>
    <w:rsid w:val="00CB51DD"/>
    <w:rsid w:val="00CC12C4"/>
    <w:rsid w:val="00CC7E7F"/>
    <w:rsid w:val="00CD0F91"/>
    <w:rsid w:val="00CE0947"/>
    <w:rsid w:val="00CE1720"/>
    <w:rsid w:val="00CE414C"/>
    <w:rsid w:val="00CF384C"/>
    <w:rsid w:val="00CF6B90"/>
    <w:rsid w:val="00D04DAF"/>
    <w:rsid w:val="00D12C66"/>
    <w:rsid w:val="00D314B9"/>
    <w:rsid w:val="00D3172D"/>
    <w:rsid w:val="00D3260C"/>
    <w:rsid w:val="00D407F0"/>
    <w:rsid w:val="00D41B77"/>
    <w:rsid w:val="00D523E3"/>
    <w:rsid w:val="00D567B3"/>
    <w:rsid w:val="00D63703"/>
    <w:rsid w:val="00D63D0F"/>
    <w:rsid w:val="00D66752"/>
    <w:rsid w:val="00D72AB5"/>
    <w:rsid w:val="00D815C1"/>
    <w:rsid w:val="00D97C51"/>
    <w:rsid w:val="00DA306D"/>
    <w:rsid w:val="00DB0DEE"/>
    <w:rsid w:val="00DB4CA9"/>
    <w:rsid w:val="00DC295F"/>
    <w:rsid w:val="00DC4833"/>
    <w:rsid w:val="00DC594B"/>
    <w:rsid w:val="00DD281B"/>
    <w:rsid w:val="00DD2AE1"/>
    <w:rsid w:val="00DD5C69"/>
    <w:rsid w:val="00DE5853"/>
    <w:rsid w:val="00DE62BA"/>
    <w:rsid w:val="00DE795D"/>
    <w:rsid w:val="00E070F4"/>
    <w:rsid w:val="00E076A0"/>
    <w:rsid w:val="00E3459E"/>
    <w:rsid w:val="00E422D3"/>
    <w:rsid w:val="00E43CA2"/>
    <w:rsid w:val="00E47FEC"/>
    <w:rsid w:val="00E5402A"/>
    <w:rsid w:val="00E563D4"/>
    <w:rsid w:val="00E60D64"/>
    <w:rsid w:val="00E66B3D"/>
    <w:rsid w:val="00E73102"/>
    <w:rsid w:val="00E751C7"/>
    <w:rsid w:val="00E8069E"/>
    <w:rsid w:val="00E8210F"/>
    <w:rsid w:val="00EA06D3"/>
    <w:rsid w:val="00EB2EE6"/>
    <w:rsid w:val="00EE00AB"/>
    <w:rsid w:val="00EE3B1A"/>
    <w:rsid w:val="00EF1FB6"/>
    <w:rsid w:val="00EF69A7"/>
    <w:rsid w:val="00F01309"/>
    <w:rsid w:val="00F01DB0"/>
    <w:rsid w:val="00F054DA"/>
    <w:rsid w:val="00F07FCC"/>
    <w:rsid w:val="00F12DED"/>
    <w:rsid w:val="00F26583"/>
    <w:rsid w:val="00F4009C"/>
    <w:rsid w:val="00F45387"/>
    <w:rsid w:val="00F615E1"/>
    <w:rsid w:val="00F7240E"/>
    <w:rsid w:val="00F81B6D"/>
    <w:rsid w:val="00F875FF"/>
    <w:rsid w:val="00F964EB"/>
    <w:rsid w:val="00FA0C1C"/>
    <w:rsid w:val="00FA4926"/>
    <w:rsid w:val="00FA5859"/>
    <w:rsid w:val="00FB20D0"/>
    <w:rsid w:val="00FB3057"/>
    <w:rsid w:val="00FB5C58"/>
    <w:rsid w:val="00FC2E95"/>
    <w:rsid w:val="00FC32FC"/>
    <w:rsid w:val="00FC7FDC"/>
    <w:rsid w:val="00FD4A6B"/>
    <w:rsid w:val="00FE0914"/>
    <w:rsid w:val="00FE52D0"/>
    <w:rsid w:val="00FE55FF"/>
    <w:rsid w:val="18F49E42"/>
    <w:rsid w:val="21E12305"/>
    <w:rsid w:val="56493006"/>
    <w:rsid w:val="CFF63FD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semiHidden="0" w:name="heading 5"/>
    <w:lsdException w:qFormat="1" w:uiPriority="9"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qFormat="1"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3"/>
    <w:qFormat/>
    <w:uiPriority w:val="9"/>
    <w:pPr>
      <w:keepNext/>
      <w:autoSpaceDE w:val="0"/>
      <w:autoSpaceDN w:val="0"/>
      <w:adjustRightInd w:val="0"/>
      <w:spacing w:line="360" w:lineRule="auto"/>
      <w:ind w:firstLine="480"/>
      <w:outlineLvl w:val="0"/>
    </w:pPr>
    <w:rPr>
      <w:rFonts w:eastAsia="楷体"/>
      <w:b/>
      <w:szCs w:val="18"/>
    </w:rPr>
  </w:style>
  <w:style w:type="paragraph" w:styleId="4">
    <w:name w:val="heading 2"/>
    <w:basedOn w:val="1"/>
    <w:next w:val="1"/>
    <w:link w:val="34"/>
    <w:qFormat/>
    <w:uiPriority w:val="9"/>
    <w:pPr>
      <w:keepNext/>
      <w:autoSpaceDE w:val="0"/>
      <w:autoSpaceDN w:val="0"/>
      <w:adjustRightInd w:val="0"/>
      <w:ind w:firstLine="422" w:firstLineChars="200"/>
      <w:jc w:val="left"/>
      <w:outlineLvl w:val="1"/>
    </w:pPr>
    <w:rPr>
      <w:b/>
    </w:rPr>
  </w:style>
  <w:style w:type="paragraph" w:styleId="5">
    <w:name w:val="heading 3"/>
    <w:basedOn w:val="1"/>
    <w:next w:val="1"/>
    <w:link w:val="52"/>
    <w:qFormat/>
    <w:uiPriority w:val="9"/>
    <w:pPr>
      <w:keepNext/>
      <w:keepLines/>
      <w:spacing w:line="276" w:lineRule="auto"/>
      <w:ind w:firstLine="200" w:firstLineChars="200"/>
      <w:jc w:val="left"/>
      <w:outlineLvl w:val="2"/>
    </w:pPr>
    <w:rPr>
      <w:rFonts w:ascii="Calibri" w:hAnsi="Calibri" w:eastAsia="仿宋_GB2312" w:cs="Times New Roman"/>
      <w:b/>
      <w:bCs/>
      <w:sz w:val="32"/>
      <w:szCs w:val="32"/>
    </w:rPr>
  </w:style>
  <w:style w:type="paragraph" w:styleId="6">
    <w:name w:val="heading 4"/>
    <w:basedOn w:val="1"/>
    <w:next w:val="1"/>
    <w:link w:val="53"/>
    <w:qFormat/>
    <w:uiPriority w:val="9"/>
    <w:pPr>
      <w:keepNext/>
      <w:keepLines/>
      <w:jc w:val="center"/>
      <w:outlineLvl w:val="3"/>
    </w:pPr>
    <w:rPr>
      <w:rFonts w:ascii="Arial" w:hAnsi="Arial" w:eastAsia="仿宋_GB2312" w:cs="Times New Roman"/>
      <w:b/>
      <w:sz w:val="28"/>
    </w:rPr>
  </w:style>
  <w:style w:type="paragraph" w:styleId="7">
    <w:name w:val="heading 5"/>
    <w:basedOn w:val="1"/>
    <w:next w:val="1"/>
    <w:link w:val="54"/>
    <w:unhideWhenUsed/>
    <w:qFormat/>
    <w:uiPriority w:val="9"/>
    <w:pPr>
      <w:keepNext/>
      <w:keepLines/>
      <w:jc w:val="center"/>
      <w:outlineLvl w:val="4"/>
    </w:pPr>
    <w:rPr>
      <w:rFonts w:eastAsia="仿宋_GB2312"/>
      <w:b/>
      <w:bCs/>
      <w:sz w:val="28"/>
      <w:szCs w:val="28"/>
    </w:rPr>
  </w:style>
  <w:style w:type="paragraph" w:styleId="8">
    <w:name w:val="heading 6"/>
    <w:basedOn w:val="1"/>
    <w:next w:val="1"/>
    <w:link w:val="56"/>
    <w:semiHidden/>
    <w:unhideWhenUsed/>
    <w:qFormat/>
    <w:uiPriority w:val="9"/>
    <w:pPr>
      <w:keepNext/>
      <w:keepLines/>
      <w:spacing w:before="240" w:after="64" w:line="320" w:lineRule="auto"/>
      <w:outlineLvl w:val="5"/>
    </w:pPr>
    <w:rPr>
      <w:rFonts w:ascii="等线 Light" w:hAnsi="等线 Light" w:eastAsia="等线 Light" w:cs="Times New Roman"/>
      <w:b/>
      <w:bCs/>
      <w:kern w:val="0"/>
      <w:sz w:val="24"/>
      <w:szCs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06"/>
    <w:semiHidden/>
    <w:unhideWhenUsed/>
    <w:qFormat/>
    <w:uiPriority w:val="99"/>
    <w:pPr>
      <w:spacing w:after="120"/>
    </w:pPr>
  </w:style>
  <w:style w:type="paragraph" w:styleId="9">
    <w:name w:val="Document Map"/>
    <w:basedOn w:val="1"/>
    <w:link w:val="43"/>
    <w:unhideWhenUsed/>
    <w:qFormat/>
    <w:uiPriority w:val="99"/>
    <w:rPr>
      <w:rFonts w:ascii="宋体" w:eastAsia="宋体"/>
      <w:sz w:val="18"/>
      <w:szCs w:val="18"/>
    </w:rPr>
  </w:style>
  <w:style w:type="paragraph" w:styleId="10">
    <w:name w:val="annotation text"/>
    <w:basedOn w:val="1"/>
    <w:link w:val="61"/>
    <w:unhideWhenUsed/>
    <w:qFormat/>
    <w:uiPriority w:val="99"/>
    <w:pPr>
      <w:ind w:firstLine="200" w:firstLineChars="200"/>
      <w:jc w:val="left"/>
    </w:pPr>
    <w:rPr>
      <w:rFonts w:eastAsia="仿宋_GB2312"/>
      <w:sz w:val="30"/>
    </w:rPr>
  </w:style>
  <w:style w:type="paragraph" w:styleId="11">
    <w:name w:val="Body Text Indent"/>
    <w:basedOn w:val="1"/>
    <w:link w:val="45"/>
    <w:qFormat/>
    <w:uiPriority w:val="0"/>
    <w:pPr>
      <w:ind w:firstLine="624"/>
    </w:pPr>
    <w:rPr>
      <w:rFonts w:ascii="Times New Roman" w:hAnsi="Times New Roman" w:eastAsia="仿宋_GB2312" w:cs="Times New Roman"/>
      <w:sz w:val="30"/>
    </w:rPr>
  </w:style>
  <w:style w:type="paragraph" w:styleId="12">
    <w:name w:val="Date"/>
    <w:basedOn w:val="1"/>
    <w:next w:val="1"/>
    <w:link w:val="41"/>
    <w:semiHidden/>
    <w:unhideWhenUsed/>
    <w:qFormat/>
    <w:uiPriority w:val="99"/>
    <w:pPr>
      <w:ind w:left="100" w:leftChars="2500"/>
    </w:pPr>
  </w:style>
  <w:style w:type="paragraph" w:styleId="13">
    <w:name w:val="Balloon Text"/>
    <w:basedOn w:val="1"/>
    <w:link w:val="35"/>
    <w:unhideWhenUsed/>
    <w:qFormat/>
    <w:uiPriority w:val="99"/>
    <w:rPr>
      <w:sz w:val="18"/>
      <w:szCs w:val="18"/>
    </w:rPr>
  </w:style>
  <w:style w:type="paragraph" w:styleId="14">
    <w:name w:val="footer"/>
    <w:basedOn w:val="1"/>
    <w:link w:val="36"/>
    <w:unhideWhenUsed/>
    <w:qFormat/>
    <w:uiPriority w:val="99"/>
    <w:pPr>
      <w:tabs>
        <w:tab w:val="center" w:pos="4153"/>
        <w:tab w:val="right" w:pos="8306"/>
      </w:tabs>
      <w:snapToGrid w:val="0"/>
      <w:jc w:val="left"/>
    </w:pPr>
    <w:rPr>
      <w:sz w:val="18"/>
      <w:szCs w:val="18"/>
    </w:rPr>
  </w:style>
  <w:style w:type="paragraph" w:styleId="15">
    <w:name w:val="header"/>
    <w:basedOn w:val="1"/>
    <w:link w:val="37"/>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footnote text"/>
    <w:basedOn w:val="1"/>
    <w:link w:val="72"/>
    <w:unhideWhenUsed/>
    <w:qFormat/>
    <w:uiPriority w:val="99"/>
    <w:pPr>
      <w:snapToGrid w:val="0"/>
      <w:ind w:firstLine="200" w:firstLineChars="200"/>
      <w:jc w:val="left"/>
    </w:pPr>
    <w:rPr>
      <w:rFonts w:eastAsia="仿宋_GB2312"/>
      <w:sz w:val="18"/>
      <w:szCs w:val="18"/>
    </w:rPr>
  </w:style>
  <w:style w:type="paragraph" w:styleId="1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8">
    <w:name w:val="Title"/>
    <w:basedOn w:val="1"/>
    <w:next w:val="1"/>
    <w:link w:val="59"/>
    <w:qFormat/>
    <w:uiPriority w:val="10"/>
    <w:pPr>
      <w:spacing w:before="240" w:after="60"/>
      <w:jc w:val="center"/>
      <w:outlineLvl w:val="0"/>
    </w:pPr>
    <w:rPr>
      <w:rFonts w:ascii="等线 Light" w:hAnsi="等线 Light" w:eastAsia="等线 Light" w:cs="Times New Roman"/>
      <w:b/>
      <w:bCs/>
      <w:kern w:val="0"/>
      <w:sz w:val="32"/>
      <w:szCs w:val="32"/>
    </w:rPr>
  </w:style>
  <w:style w:type="paragraph" w:styleId="19">
    <w:name w:val="annotation subject"/>
    <w:basedOn w:val="10"/>
    <w:next w:val="10"/>
    <w:link w:val="65"/>
    <w:unhideWhenUsed/>
    <w:qFormat/>
    <w:uiPriority w:val="99"/>
    <w:rPr>
      <w:b/>
      <w:bCs/>
    </w:rPr>
  </w:style>
  <w:style w:type="table" w:styleId="21">
    <w:name w:val="Table Grid"/>
    <w:basedOn w:val="20"/>
    <w:qFormat/>
    <w:uiPriority w:val="5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Strong"/>
    <w:basedOn w:val="22"/>
    <w:qFormat/>
    <w:uiPriority w:val="22"/>
    <w:rPr>
      <w:b/>
    </w:rPr>
  </w:style>
  <w:style w:type="character" w:styleId="24">
    <w:name w:val="FollowedHyperlink"/>
    <w:basedOn w:val="22"/>
    <w:unhideWhenUsed/>
    <w:qFormat/>
    <w:uiPriority w:val="99"/>
    <w:rPr>
      <w:color w:val="252525"/>
      <w:u w:val="none"/>
    </w:rPr>
  </w:style>
  <w:style w:type="character" w:styleId="25">
    <w:name w:val="Emphasis"/>
    <w:basedOn w:val="22"/>
    <w:qFormat/>
    <w:uiPriority w:val="20"/>
  </w:style>
  <w:style w:type="character" w:styleId="26">
    <w:name w:val="line number"/>
    <w:basedOn w:val="22"/>
    <w:semiHidden/>
    <w:unhideWhenUsed/>
    <w:qFormat/>
    <w:uiPriority w:val="99"/>
  </w:style>
  <w:style w:type="character" w:styleId="27">
    <w:name w:val="HTML Definition"/>
    <w:basedOn w:val="22"/>
    <w:unhideWhenUsed/>
    <w:qFormat/>
    <w:uiPriority w:val="99"/>
  </w:style>
  <w:style w:type="character" w:styleId="28">
    <w:name w:val="HTML Variable"/>
    <w:basedOn w:val="22"/>
    <w:unhideWhenUsed/>
    <w:qFormat/>
    <w:uiPriority w:val="99"/>
  </w:style>
  <w:style w:type="character" w:styleId="29">
    <w:name w:val="Hyperlink"/>
    <w:basedOn w:val="22"/>
    <w:unhideWhenUsed/>
    <w:qFormat/>
    <w:uiPriority w:val="99"/>
    <w:rPr>
      <w:color w:val="0563C1" w:themeColor="hyperlink"/>
      <w:u w:val="single"/>
    </w:rPr>
  </w:style>
  <w:style w:type="character" w:styleId="30">
    <w:name w:val="annotation reference"/>
    <w:basedOn w:val="22"/>
    <w:unhideWhenUsed/>
    <w:qFormat/>
    <w:uiPriority w:val="99"/>
    <w:rPr>
      <w:sz w:val="21"/>
      <w:szCs w:val="21"/>
    </w:rPr>
  </w:style>
  <w:style w:type="character" w:styleId="31">
    <w:name w:val="HTML Cite"/>
    <w:basedOn w:val="22"/>
    <w:unhideWhenUsed/>
    <w:qFormat/>
    <w:uiPriority w:val="99"/>
  </w:style>
  <w:style w:type="character" w:styleId="32">
    <w:name w:val="footnote reference"/>
    <w:basedOn w:val="22"/>
    <w:unhideWhenUsed/>
    <w:qFormat/>
    <w:uiPriority w:val="99"/>
    <w:rPr>
      <w:vertAlign w:val="superscript"/>
    </w:rPr>
  </w:style>
  <w:style w:type="character" w:customStyle="1" w:styleId="33">
    <w:name w:val="标题 1 Char"/>
    <w:basedOn w:val="22"/>
    <w:link w:val="3"/>
    <w:qFormat/>
    <w:uiPriority w:val="9"/>
    <w:rPr>
      <w:rFonts w:eastAsia="楷体"/>
      <w:b/>
      <w:sz w:val="32"/>
      <w:szCs w:val="18"/>
    </w:rPr>
  </w:style>
  <w:style w:type="character" w:customStyle="1" w:styleId="34">
    <w:name w:val="标题 2 Char"/>
    <w:basedOn w:val="22"/>
    <w:link w:val="4"/>
    <w:qFormat/>
    <w:uiPriority w:val="9"/>
    <w:rPr>
      <w:b/>
    </w:rPr>
  </w:style>
  <w:style w:type="character" w:customStyle="1" w:styleId="35">
    <w:name w:val="批注框文本 Char"/>
    <w:basedOn w:val="22"/>
    <w:link w:val="13"/>
    <w:qFormat/>
    <w:uiPriority w:val="99"/>
    <w:rPr>
      <w:rFonts w:asciiTheme="minorHAnsi" w:hAnsiTheme="minorHAnsi" w:eastAsiaTheme="minorEastAsia" w:cstheme="minorBidi"/>
      <w:kern w:val="2"/>
      <w:sz w:val="18"/>
      <w:szCs w:val="18"/>
    </w:rPr>
  </w:style>
  <w:style w:type="character" w:customStyle="1" w:styleId="36">
    <w:name w:val="页脚 Char"/>
    <w:basedOn w:val="22"/>
    <w:link w:val="14"/>
    <w:qFormat/>
    <w:uiPriority w:val="99"/>
    <w:rPr>
      <w:rFonts w:asciiTheme="minorHAnsi" w:hAnsiTheme="minorHAnsi" w:eastAsiaTheme="minorEastAsia" w:cstheme="minorBidi"/>
      <w:kern w:val="2"/>
      <w:sz w:val="18"/>
      <w:szCs w:val="18"/>
    </w:rPr>
  </w:style>
  <w:style w:type="character" w:customStyle="1" w:styleId="37">
    <w:name w:val="页眉 Char"/>
    <w:basedOn w:val="22"/>
    <w:link w:val="15"/>
    <w:qFormat/>
    <w:uiPriority w:val="99"/>
    <w:rPr>
      <w:rFonts w:asciiTheme="minorHAnsi" w:hAnsiTheme="minorHAnsi" w:eastAsiaTheme="minorEastAsia" w:cstheme="minorBidi"/>
      <w:kern w:val="2"/>
      <w:sz w:val="18"/>
      <w:szCs w:val="18"/>
    </w:rPr>
  </w:style>
  <w:style w:type="paragraph" w:styleId="38">
    <w:name w:val="List Paragraph"/>
    <w:basedOn w:val="1"/>
    <w:qFormat/>
    <w:uiPriority w:val="99"/>
    <w:pPr>
      <w:ind w:firstLine="420" w:firstLineChars="200"/>
    </w:pPr>
  </w:style>
  <w:style w:type="character" w:customStyle="1" w:styleId="39">
    <w:name w:val="未处理的提及1"/>
    <w:basedOn w:val="22"/>
    <w:semiHidden/>
    <w:unhideWhenUsed/>
    <w:qFormat/>
    <w:uiPriority w:val="99"/>
    <w:rPr>
      <w:color w:val="605E5C"/>
      <w:shd w:val="clear" w:color="auto" w:fill="E1DFDD"/>
    </w:rPr>
  </w:style>
  <w:style w:type="character" w:customStyle="1" w:styleId="40">
    <w:name w:val="未处理的提及2"/>
    <w:basedOn w:val="22"/>
    <w:semiHidden/>
    <w:unhideWhenUsed/>
    <w:qFormat/>
    <w:uiPriority w:val="99"/>
    <w:rPr>
      <w:color w:val="605E5C"/>
      <w:shd w:val="clear" w:color="auto" w:fill="E1DFDD"/>
    </w:rPr>
  </w:style>
  <w:style w:type="character" w:customStyle="1" w:styleId="41">
    <w:name w:val="日期 Char"/>
    <w:basedOn w:val="22"/>
    <w:link w:val="12"/>
    <w:semiHidden/>
    <w:qFormat/>
    <w:uiPriority w:val="99"/>
    <w:rPr>
      <w:rFonts w:asciiTheme="minorHAnsi" w:hAnsiTheme="minorHAnsi" w:eastAsiaTheme="minorEastAsia" w:cstheme="minorBidi"/>
      <w:kern w:val="2"/>
      <w:sz w:val="21"/>
      <w:szCs w:val="22"/>
    </w:rPr>
  </w:style>
  <w:style w:type="paragraph" w:customStyle="1" w:styleId="42">
    <w:name w:val="Char1"/>
    <w:basedOn w:val="9"/>
    <w:semiHidden/>
    <w:qFormat/>
    <w:uiPriority w:val="0"/>
  </w:style>
  <w:style w:type="character" w:customStyle="1" w:styleId="43">
    <w:name w:val="文档结构图 Char"/>
    <w:basedOn w:val="22"/>
    <w:link w:val="9"/>
    <w:qFormat/>
    <w:uiPriority w:val="99"/>
    <w:rPr>
      <w:rFonts w:ascii="宋体" w:hAnsiTheme="minorHAnsi" w:cstheme="minorBidi"/>
      <w:kern w:val="2"/>
      <w:sz w:val="18"/>
      <w:szCs w:val="18"/>
    </w:rPr>
  </w:style>
  <w:style w:type="paragraph" w:customStyle="1" w:styleId="44">
    <w:name w:val="线型"/>
    <w:basedOn w:val="1"/>
    <w:qFormat/>
    <w:uiPriority w:val="0"/>
    <w:pPr>
      <w:autoSpaceDE w:val="0"/>
      <w:autoSpaceDN w:val="0"/>
      <w:adjustRightInd w:val="0"/>
      <w:ind w:right="357"/>
      <w:jc w:val="center"/>
    </w:pPr>
    <w:rPr>
      <w:rFonts w:ascii="Calibri" w:hAnsi="Calibri" w:eastAsia="方正仿宋_GBK" w:cs="Times New Roman"/>
      <w:snapToGrid w:val="0"/>
      <w:kern w:val="0"/>
    </w:rPr>
  </w:style>
  <w:style w:type="character" w:customStyle="1" w:styleId="45">
    <w:name w:val="正文文本缩进 Char"/>
    <w:basedOn w:val="22"/>
    <w:link w:val="11"/>
    <w:qFormat/>
    <w:uiPriority w:val="0"/>
    <w:rPr>
      <w:rFonts w:eastAsia="仿宋_GB2312"/>
      <w:kern w:val="2"/>
      <w:sz w:val="30"/>
      <w:szCs w:val="22"/>
    </w:rPr>
  </w:style>
  <w:style w:type="paragraph" w:customStyle="1" w:styleId="46">
    <w:name w:val="列出段落1"/>
    <w:basedOn w:val="1"/>
    <w:qFormat/>
    <w:uiPriority w:val="99"/>
    <w:pPr>
      <w:ind w:firstLine="420" w:firstLineChars="200"/>
    </w:pPr>
  </w:style>
  <w:style w:type="paragraph" w:customStyle="1" w:styleId="47">
    <w:name w:val="Char11"/>
    <w:basedOn w:val="9"/>
    <w:semiHidden/>
    <w:qFormat/>
    <w:uiPriority w:val="0"/>
    <w:pPr>
      <w:widowControl/>
      <w:shd w:val="clear" w:color="auto" w:fill="000080"/>
      <w:tabs>
        <w:tab w:val="left" w:pos="360"/>
      </w:tabs>
      <w:adjustRightInd w:val="0"/>
      <w:spacing w:line="360" w:lineRule="auto"/>
      <w:jc w:val="center"/>
      <w:outlineLvl w:val="3"/>
    </w:pPr>
    <w:rPr>
      <w:rFonts w:ascii="Tahoma" w:hAnsi="Tahoma" w:cs="宋体"/>
      <w:kern w:val="0"/>
      <w:sz w:val="24"/>
      <w:szCs w:val="24"/>
    </w:rPr>
  </w:style>
  <w:style w:type="paragraph" w:customStyle="1" w:styleId="48">
    <w:name w:val="Char12"/>
    <w:basedOn w:val="9"/>
    <w:semiHidden/>
    <w:qFormat/>
    <w:uiPriority w:val="0"/>
    <w:pPr>
      <w:widowControl/>
      <w:shd w:val="clear" w:color="auto" w:fill="000080"/>
      <w:tabs>
        <w:tab w:val="left" w:pos="360"/>
      </w:tabs>
      <w:adjustRightInd w:val="0"/>
      <w:spacing w:line="360" w:lineRule="auto"/>
      <w:jc w:val="center"/>
      <w:outlineLvl w:val="3"/>
    </w:pPr>
    <w:rPr>
      <w:rFonts w:ascii="Tahoma" w:hAnsi="Tahoma" w:cs="宋体"/>
      <w:kern w:val="0"/>
      <w:sz w:val="24"/>
      <w:szCs w:val="24"/>
    </w:rPr>
  </w:style>
  <w:style w:type="paragraph" w:customStyle="1" w:styleId="49">
    <w:name w:val="Char13"/>
    <w:basedOn w:val="9"/>
    <w:semiHidden/>
    <w:qFormat/>
    <w:uiPriority w:val="0"/>
    <w:pPr>
      <w:widowControl/>
      <w:shd w:val="clear" w:color="auto" w:fill="000080"/>
      <w:tabs>
        <w:tab w:val="left" w:pos="360"/>
      </w:tabs>
      <w:adjustRightInd w:val="0"/>
      <w:spacing w:line="360" w:lineRule="auto"/>
      <w:jc w:val="center"/>
      <w:outlineLvl w:val="3"/>
    </w:pPr>
    <w:rPr>
      <w:rFonts w:ascii="Tahoma" w:hAnsi="Tahoma" w:cs="宋体"/>
      <w:kern w:val="0"/>
      <w:sz w:val="24"/>
      <w:szCs w:val="24"/>
    </w:rPr>
  </w:style>
  <w:style w:type="paragraph" w:customStyle="1" w:styleId="50">
    <w:name w:val="Char14"/>
    <w:basedOn w:val="9"/>
    <w:semiHidden/>
    <w:qFormat/>
    <w:uiPriority w:val="0"/>
    <w:pPr>
      <w:widowControl/>
      <w:shd w:val="clear" w:color="auto" w:fill="000080"/>
      <w:adjustRightInd w:val="0"/>
      <w:spacing w:line="360" w:lineRule="auto"/>
      <w:jc w:val="center"/>
      <w:outlineLvl w:val="3"/>
    </w:pPr>
    <w:rPr>
      <w:rFonts w:ascii="Tahoma" w:hAnsi="Tahoma" w:cs="宋体"/>
      <w:kern w:val="0"/>
      <w:sz w:val="24"/>
      <w:szCs w:val="24"/>
    </w:rPr>
  </w:style>
  <w:style w:type="paragraph" w:customStyle="1" w:styleId="51">
    <w:name w:val="Char15"/>
    <w:basedOn w:val="9"/>
    <w:semiHidden/>
    <w:qFormat/>
    <w:uiPriority w:val="0"/>
    <w:pPr>
      <w:widowControl/>
      <w:shd w:val="clear" w:color="auto" w:fill="000080"/>
      <w:adjustRightInd w:val="0"/>
      <w:spacing w:line="360" w:lineRule="auto"/>
      <w:jc w:val="center"/>
      <w:outlineLvl w:val="3"/>
    </w:pPr>
    <w:rPr>
      <w:rFonts w:ascii="Tahoma" w:hAnsi="Tahoma" w:cs="宋体"/>
      <w:kern w:val="0"/>
      <w:sz w:val="24"/>
      <w:szCs w:val="24"/>
    </w:rPr>
  </w:style>
  <w:style w:type="character" w:customStyle="1" w:styleId="52">
    <w:name w:val="标题 3 Char"/>
    <w:basedOn w:val="22"/>
    <w:link w:val="5"/>
    <w:qFormat/>
    <w:uiPriority w:val="9"/>
    <w:rPr>
      <w:rFonts w:ascii="Calibri" w:hAnsi="Calibri" w:eastAsia="仿宋_GB2312"/>
      <w:b/>
      <w:bCs/>
      <w:kern w:val="2"/>
      <w:sz w:val="32"/>
      <w:szCs w:val="32"/>
    </w:rPr>
  </w:style>
  <w:style w:type="character" w:customStyle="1" w:styleId="53">
    <w:name w:val="标题 4 Char"/>
    <w:basedOn w:val="22"/>
    <w:link w:val="6"/>
    <w:qFormat/>
    <w:uiPriority w:val="9"/>
    <w:rPr>
      <w:rFonts w:ascii="Arial" w:hAnsi="Arial" w:eastAsia="仿宋_GB2312"/>
      <w:b/>
      <w:kern w:val="2"/>
      <w:sz w:val="28"/>
      <w:szCs w:val="22"/>
    </w:rPr>
  </w:style>
  <w:style w:type="character" w:customStyle="1" w:styleId="54">
    <w:name w:val="标题 5 Char"/>
    <w:basedOn w:val="22"/>
    <w:link w:val="7"/>
    <w:qFormat/>
    <w:uiPriority w:val="9"/>
    <w:rPr>
      <w:rFonts w:eastAsia="仿宋_GB2312" w:asciiTheme="minorHAnsi" w:hAnsiTheme="minorHAnsi" w:cstheme="minorBidi"/>
      <w:b/>
      <w:bCs/>
      <w:kern w:val="2"/>
      <w:sz w:val="28"/>
      <w:szCs w:val="28"/>
    </w:rPr>
  </w:style>
  <w:style w:type="paragraph" w:customStyle="1" w:styleId="55">
    <w:name w:val="标题 61"/>
    <w:basedOn w:val="1"/>
    <w:next w:val="1"/>
    <w:unhideWhenUsed/>
    <w:qFormat/>
    <w:uiPriority w:val="9"/>
    <w:pPr>
      <w:keepNext/>
      <w:keepLines/>
      <w:spacing w:before="240" w:after="64" w:line="320" w:lineRule="auto"/>
      <w:ind w:firstLine="200" w:firstLineChars="200"/>
      <w:outlineLvl w:val="5"/>
    </w:pPr>
    <w:rPr>
      <w:rFonts w:ascii="等线 Light" w:hAnsi="等线 Light" w:eastAsia="等线 Light" w:cs="Times New Roman"/>
      <w:b/>
      <w:bCs/>
      <w:sz w:val="24"/>
      <w:szCs w:val="24"/>
    </w:rPr>
  </w:style>
  <w:style w:type="character" w:customStyle="1" w:styleId="56">
    <w:name w:val="标题 6 Char"/>
    <w:basedOn w:val="22"/>
    <w:link w:val="8"/>
    <w:qFormat/>
    <w:uiPriority w:val="9"/>
    <w:rPr>
      <w:rFonts w:ascii="等线 Light" w:hAnsi="等线 Light" w:eastAsia="等线 Light" w:cs="Times New Roman"/>
      <w:b/>
      <w:bCs/>
      <w:sz w:val="24"/>
      <w:szCs w:val="24"/>
    </w:rPr>
  </w:style>
  <w:style w:type="paragraph" w:styleId="57">
    <w:name w:val="No Spacing"/>
    <w:qFormat/>
    <w:uiPriority w:val="1"/>
    <w:pPr>
      <w:widowControl w:val="0"/>
      <w:jc w:val="both"/>
    </w:pPr>
    <w:rPr>
      <w:rFonts w:ascii="等线" w:hAnsi="等线" w:eastAsia="等线" w:cs="Times New Roman"/>
      <w:kern w:val="2"/>
      <w:sz w:val="21"/>
      <w:szCs w:val="22"/>
      <w:lang w:val="en-US" w:eastAsia="zh-CN" w:bidi="ar-SA"/>
    </w:rPr>
  </w:style>
  <w:style w:type="paragraph" w:customStyle="1" w:styleId="58">
    <w:name w:val="标题1"/>
    <w:basedOn w:val="1"/>
    <w:next w:val="1"/>
    <w:qFormat/>
    <w:uiPriority w:val="10"/>
    <w:pPr>
      <w:spacing w:before="240" w:after="60"/>
      <w:jc w:val="center"/>
      <w:outlineLvl w:val="0"/>
    </w:pPr>
    <w:rPr>
      <w:rFonts w:ascii="等线 Light" w:hAnsi="等线 Light" w:eastAsia="等线 Light" w:cs="Times New Roman"/>
      <w:b/>
      <w:bCs/>
      <w:sz w:val="32"/>
      <w:szCs w:val="32"/>
    </w:rPr>
  </w:style>
  <w:style w:type="character" w:customStyle="1" w:styleId="59">
    <w:name w:val="标题 Char"/>
    <w:basedOn w:val="22"/>
    <w:link w:val="18"/>
    <w:qFormat/>
    <w:uiPriority w:val="10"/>
    <w:rPr>
      <w:rFonts w:ascii="等线 Light" w:hAnsi="等线 Light" w:eastAsia="等线 Light" w:cs="Times New Roman"/>
      <w:b/>
      <w:bCs/>
      <w:sz w:val="32"/>
      <w:szCs w:val="32"/>
    </w:rPr>
  </w:style>
  <w:style w:type="table" w:customStyle="1" w:styleId="60">
    <w:name w:val="网格型1"/>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1">
    <w:name w:val="批注文字 Char"/>
    <w:basedOn w:val="22"/>
    <w:link w:val="10"/>
    <w:qFormat/>
    <w:uiPriority w:val="99"/>
    <w:rPr>
      <w:rFonts w:eastAsia="仿宋_GB2312" w:asciiTheme="minorHAnsi" w:hAnsiTheme="minorHAnsi" w:cstheme="minorBidi"/>
      <w:kern w:val="2"/>
      <w:sz w:val="30"/>
      <w:szCs w:val="22"/>
    </w:rPr>
  </w:style>
  <w:style w:type="paragraph" w:customStyle="1" w:styleId="62">
    <w:name w:val="专栏"/>
    <w:basedOn w:val="1"/>
    <w:qFormat/>
    <w:uiPriority w:val="0"/>
    <w:pPr>
      <w:ind w:firstLine="200" w:firstLineChars="200"/>
    </w:pPr>
    <w:rPr>
      <w:rFonts w:ascii="仿宋" w:hAnsi="仿宋" w:eastAsia="仿宋_GB2312" w:cs="仿宋"/>
      <w:color w:val="000000"/>
      <w:sz w:val="28"/>
      <w:szCs w:val="32"/>
    </w:rPr>
  </w:style>
  <w:style w:type="paragraph" w:customStyle="1" w:styleId="63">
    <w:name w:val="目录 11"/>
    <w:basedOn w:val="1"/>
    <w:next w:val="1"/>
    <w:unhideWhenUsed/>
    <w:qFormat/>
    <w:uiPriority w:val="39"/>
    <w:pPr>
      <w:spacing w:before="120" w:after="120"/>
      <w:ind w:firstLine="200" w:firstLineChars="200"/>
      <w:jc w:val="left"/>
    </w:pPr>
    <w:rPr>
      <w:rFonts w:eastAsia="仿宋_GB2312" w:cs="等线"/>
      <w:b/>
      <w:bCs/>
      <w:caps/>
      <w:sz w:val="20"/>
      <w:szCs w:val="20"/>
    </w:rPr>
  </w:style>
  <w:style w:type="paragraph" w:customStyle="1" w:styleId="64">
    <w:name w:val="目录 21"/>
    <w:basedOn w:val="1"/>
    <w:next w:val="1"/>
    <w:unhideWhenUsed/>
    <w:qFormat/>
    <w:uiPriority w:val="39"/>
    <w:pPr>
      <w:ind w:left="300" w:firstLine="200" w:firstLineChars="200"/>
      <w:jc w:val="left"/>
    </w:pPr>
    <w:rPr>
      <w:rFonts w:eastAsia="仿宋_GB2312" w:cs="等线"/>
      <w:smallCaps/>
      <w:sz w:val="20"/>
      <w:szCs w:val="20"/>
    </w:rPr>
  </w:style>
  <w:style w:type="character" w:customStyle="1" w:styleId="65">
    <w:name w:val="批注主题 Char"/>
    <w:basedOn w:val="61"/>
    <w:link w:val="19"/>
    <w:qFormat/>
    <w:uiPriority w:val="99"/>
    <w:rPr>
      <w:rFonts w:eastAsia="仿宋_GB2312" w:asciiTheme="minorHAnsi" w:hAnsiTheme="minorHAnsi" w:cstheme="minorBidi"/>
      <w:b/>
      <w:bCs/>
      <w:kern w:val="2"/>
      <w:sz w:val="30"/>
      <w:szCs w:val="22"/>
    </w:rPr>
  </w:style>
  <w:style w:type="paragraph" w:customStyle="1" w:styleId="66">
    <w:name w:val="目录 71"/>
    <w:basedOn w:val="1"/>
    <w:next w:val="1"/>
    <w:unhideWhenUsed/>
    <w:qFormat/>
    <w:uiPriority w:val="39"/>
    <w:pPr>
      <w:ind w:left="1800" w:firstLine="200" w:firstLineChars="200"/>
      <w:jc w:val="left"/>
    </w:pPr>
    <w:rPr>
      <w:rFonts w:eastAsia="仿宋_GB2312" w:cs="等线"/>
      <w:sz w:val="18"/>
      <w:szCs w:val="18"/>
    </w:rPr>
  </w:style>
  <w:style w:type="paragraph" w:customStyle="1" w:styleId="67">
    <w:name w:val="题注1"/>
    <w:basedOn w:val="1"/>
    <w:next w:val="1"/>
    <w:unhideWhenUsed/>
    <w:qFormat/>
    <w:uiPriority w:val="35"/>
    <w:pPr>
      <w:spacing w:line="360" w:lineRule="auto"/>
      <w:ind w:firstLine="200" w:firstLineChars="200"/>
    </w:pPr>
    <w:rPr>
      <w:rFonts w:ascii="等线 Light" w:hAnsi="等线 Light" w:eastAsia="黑体" w:cs="Times New Roman"/>
      <w:sz w:val="20"/>
      <w:szCs w:val="20"/>
    </w:rPr>
  </w:style>
  <w:style w:type="paragraph" w:customStyle="1" w:styleId="68">
    <w:name w:val="目录 51"/>
    <w:basedOn w:val="1"/>
    <w:next w:val="1"/>
    <w:unhideWhenUsed/>
    <w:qFormat/>
    <w:uiPriority w:val="39"/>
    <w:pPr>
      <w:ind w:left="1200" w:firstLine="200" w:firstLineChars="200"/>
      <w:jc w:val="left"/>
    </w:pPr>
    <w:rPr>
      <w:rFonts w:eastAsia="仿宋_GB2312" w:cs="等线"/>
      <w:sz w:val="18"/>
      <w:szCs w:val="18"/>
    </w:rPr>
  </w:style>
  <w:style w:type="paragraph" w:customStyle="1" w:styleId="69">
    <w:name w:val="目录 31"/>
    <w:basedOn w:val="1"/>
    <w:next w:val="1"/>
    <w:unhideWhenUsed/>
    <w:qFormat/>
    <w:uiPriority w:val="39"/>
    <w:pPr>
      <w:ind w:left="600" w:firstLine="200" w:firstLineChars="200"/>
      <w:jc w:val="left"/>
    </w:pPr>
    <w:rPr>
      <w:rFonts w:eastAsia="仿宋_GB2312" w:cs="等线"/>
      <w:i/>
      <w:iCs/>
      <w:sz w:val="20"/>
      <w:szCs w:val="20"/>
    </w:rPr>
  </w:style>
  <w:style w:type="paragraph" w:customStyle="1" w:styleId="70">
    <w:name w:val="目录 81"/>
    <w:basedOn w:val="1"/>
    <w:next w:val="1"/>
    <w:unhideWhenUsed/>
    <w:qFormat/>
    <w:uiPriority w:val="39"/>
    <w:pPr>
      <w:ind w:left="2100" w:firstLine="200" w:firstLineChars="200"/>
      <w:jc w:val="left"/>
    </w:pPr>
    <w:rPr>
      <w:rFonts w:eastAsia="仿宋_GB2312" w:cs="等线"/>
      <w:sz w:val="18"/>
      <w:szCs w:val="18"/>
    </w:rPr>
  </w:style>
  <w:style w:type="paragraph" w:customStyle="1" w:styleId="71">
    <w:name w:val="目录 41"/>
    <w:basedOn w:val="1"/>
    <w:next w:val="1"/>
    <w:unhideWhenUsed/>
    <w:qFormat/>
    <w:uiPriority w:val="39"/>
    <w:pPr>
      <w:ind w:left="900" w:firstLine="200" w:firstLineChars="200"/>
      <w:jc w:val="left"/>
    </w:pPr>
    <w:rPr>
      <w:rFonts w:eastAsia="仿宋_GB2312" w:cs="等线"/>
      <w:sz w:val="18"/>
      <w:szCs w:val="18"/>
    </w:rPr>
  </w:style>
  <w:style w:type="character" w:customStyle="1" w:styleId="72">
    <w:name w:val="脚注文本 Char"/>
    <w:basedOn w:val="22"/>
    <w:link w:val="16"/>
    <w:qFormat/>
    <w:uiPriority w:val="99"/>
    <w:rPr>
      <w:rFonts w:eastAsia="仿宋_GB2312" w:asciiTheme="minorHAnsi" w:hAnsiTheme="minorHAnsi" w:cstheme="minorBidi"/>
      <w:kern w:val="2"/>
      <w:sz w:val="18"/>
      <w:szCs w:val="18"/>
    </w:rPr>
  </w:style>
  <w:style w:type="paragraph" w:customStyle="1" w:styleId="73">
    <w:name w:val="目录 61"/>
    <w:basedOn w:val="1"/>
    <w:next w:val="1"/>
    <w:unhideWhenUsed/>
    <w:qFormat/>
    <w:uiPriority w:val="39"/>
    <w:pPr>
      <w:ind w:left="1500" w:firstLine="200" w:firstLineChars="200"/>
      <w:jc w:val="left"/>
    </w:pPr>
    <w:rPr>
      <w:rFonts w:eastAsia="仿宋_GB2312" w:cs="等线"/>
      <w:sz w:val="18"/>
      <w:szCs w:val="18"/>
    </w:rPr>
  </w:style>
  <w:style w:type="paragraph" w:customStyle="1" w:styleId="74">
    <w:name w:val="目录 91"/>
    <w:basedOn w:val="1"/>
    <w:next w:val="1"/>
    <w:unhideWhenUsed/>
    <w:qFormat/>
    <w:uiPriority w:val="39"/>
    <w:pPr>
      <w:ind w:left="2400" w:firstLine="200" w:firstLineChars="200"/>
      <w:jc w:val="left"/>
    </w:pPr>
    <w:rPr>
      <w:rFonts w:eastAsia="仿宋_GB2312" w:cs="等线"/>
      <w:sz w:val="18"/>
      <w:szCs w:val="18"/>
    </w:rPr>
  </w:style>
  <w:style w:type="paragraph" w:customStyle="1" w:styleId="75">
    <w:name w:val="标题4"/>
    <w:basedOn w:val="6"/>
    <w:next w:val="5"/>
    <w:qFormat/>
    <w:uiPriority w:val="0"/>
    <w:rPr>
      <w:rFonts w:ascii="Times New Roman" w:hAnsi="Times New Roman"/>
    </w:rPr>
  </w:style>
  <w:style w:type="character" w:customStyle="1" w:styleId="76">
    <w:name w:val="tag"/>
    <w:basedOn w:val="22"/>
    <w:qFormat/>
    <w:uiPriority w:val="0"/>
  </w:style>
  <w:style w:type="character" w:customStyle="1" w:styleId="77">
    <w:name w:val="apple-converted-space"/>
    <w:basedOn w:val="22"/>
    <w:qFormat/>
    <w:uiPriority w:val="0"/>
  </w:style>
  <w:style w:type="paragraph" w:customStyle="1" w:styleId="78">
    <w:name w:val="TOC 标题1"/>
    <w:basedOn w:val="3"/>
    <w:next w:val="1"/>
    <w:unhideWhenUsed/>
    <w:qFormat/>
    <w:uiPriority w:val="39"/>
    <w:pPr>
      <w:keepLines/>
      <w:widowControl/>
      <w:autoSpaceDE/>
      <w:autoSpaceDN/>
      <w:adjustRightInd/>
      <w:spacing w:before="240" w:line="259" w:lineRule="auto"/>
      <w:ind w:firstLine="0"/>
      <w:jc w:val="left"/>
      <w:outlineLvl w:val="9"/>
    </w:pPr>
    <w:rPr>
      <w:rFonts w:ascii="等线 Light" w:hAnsi="等线 Light" w:eastAsia="等线 Light" w:cs="Times New Roman"/>
      <w:b w:val="0"/>
      <w:color w:val="2F5496"/>
      <w:kern w:val="0"/>
      <w:sz w:val="32"/>
      <w:szCs w:val="32"/>
    </w:rPr>
  </w:style>
  <w:style w:type="paragraph" w:customStyle="1" w:styleId="79">
    <w:name w:val="修订2"/>
    <w:hidden/>
    <w:unhideWhenUsed/>
    <w:qFormat/>
    <w:uiPriority w:val="99"/>
    <w:rPr>
      <w:rFonts w:ascii="等线" w:hAnsi="等线" w:eastAsia="仿宋_GB2312" w:cs="Times New Roman"/>
      <w:kern w:val="2"/>
      <w:sz w:val="30"/>
      <w:szCs w:val="22"/>
      <w:lang w:val="en-US" w:eastAsia="zh-CN" w:bidi="ar-SA"/>
    </w:rPr>
  </w:style>
  <w:style w:type="character" w:customStyle="1" w:styleId="80">
    <w:name w:val="占位符文本1"/>
    <w:basedOn w:val="22"/>
    <w:unhideWhenUsed/>
    <w:qFormat/>
    <w:uiPriority w:val="99"/>
    <w:rPr>
      <w:color w:val="808080"/>
    </w:rPr>
  </w:style>
  <w:style w:type="paragraph" w:customStyle="1" w:styleId="81">
    <w:name w:val="TOC 标题2"/>
    <w:basedOn w:val="3"/>
    <w:next w:val="1"/>
    <w:unhideWhenUsed/>
    <w:qFormat/>
    <w:uiPriority w:val="39"/>
    <w:pPr>
      <w:keepLines/>
      <w:widowControl/>
      <w:autoSpaceDE/>
      <w:autoSpaceDN/>
      <w:adjustRightInd/>
      <w:spacing w:before="240" w:line="259" w:lineRule="auto"/>
      <w:ind w:firstLine="0"/>
      <w:jc w:val="left"/>
      <w:outlineLvl w:val="9"/>
    </w:pPr>
    <w:rPr>
      <w:rFonts w:ascii="等线 Light" w:hAnsi="等线 Light" w:eastAsia="等线 Light" w:cs="Times New Roman"/>
      <w:b w:val="0"/>
      <w:color w:val="2F5496"/>
      <w:kern w:val="0"/>
      <w:sz w:val="32"/>
      <w:szCs w:val="32"/>
    </w:rPr>
  </w:style>
  <w:style w:type="table" w:customStyle="1" w:styleId="82">
    <w:name w:val="网格型2411"/>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
    <w:name w:val="网格型12111"/>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4">
    <w:name w:val="修订1"/>
    <w:hidden/>
    <w:semiHidden/>
    <w:qFormat/>
    <w:uiPriority w:val="99"/>
    <w:rPr>
      <w:rFonts w:ascii="等线" w:hAnsi="等线" w:eastAsia="仿宋_GB2312" w:cs="Times New Roman"/>
      <w:kern w:val="2"/>
      <w:sz w:val="30"/>
      <w:szCs w:val="22"/>
      <w:lang w:val="en-US" w:eastAsia="zh-CN" w:bidi="ar-SA"/>
    </w:rPr>
  </w:style>
  <w:style w:type="table" w:customStyle="1" w:styleId="85">
    <w:name w:val="网格型10"/>
    <w:basedOn w:val="20"/>
    <w:qFormat/>
    <w:uiPriority w:val="5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
    <w:name w:val="网格型44"/>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
    <w:name w:val="网格型22"/>
    <w:basedOn w:val="20"/>
    <w:qFormat/>
    <w:uiPriority w:val="0"/>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
    <w:name w:val="网格型102"/>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
    <w:name w:val="网格型1211"/>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
    <w:name w:val="网格型25"/>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1">
    <w:name w:val="nav_title01"/>
    <w:basedOn w:val="22"/>
    <w:qFormat/>
    <w:uiPriority w:val="0"/>
    <w:rPr>
      <w:rFonts w:ascii="微软雅黑" w:hAnsi="微软雅黑" w:eastAsia="微软雅黑" w:cs="微软雅黑"/>
      <w:color w:val="206CB7"/>
      <w:sz w:val="12"/>
      <w:szCs w:val="12"/>
    </w:rPr>
  </w:style>
  <w:style w:type="character" w:customStyle="1" w:styleId="92">
    <w:name w:val="nav_title011"/>
    <w:basedOn w:val="22"/>
    <w:qFormat/>
    <w:uiPriority w:val="0"/>
    <w:rPr>
      <w:rFonts w:hint="eastAsia" w:ascii="微软雅黑" w:hAnsi="微软雅黑" w:eastAsia="微软雅黑" w:cs="微软雅黑"/>
      <w:color w:val="206CB7"/>
      <w:sz w:val="12"/>
      <w:szCs w:val="12"/>
    </w:rPr>
  </w:style>
  <w:style w:type="character" w:customStyle="1" w:styleId="93">
    <w:name w:val="nav_title012"/>
    <w:basedOn w:val="22"/>
    <w:qFormat/>
    <w:uiPriority w:val="0"/>
    <w:rPr>
      <w:rFonts w:hint="eastAsia" w:ascii="微软雅黑" w:hAnsi="微软雅黑" w:eastAsia="微软雅黑" w:cs="微软雅黑"/>
      <w:color w:val="206CB7"/>
      <w:sz w:val="13"/>
      <w:szCs w:val="13"/>
    </w:rPr>
  </w:style>
  <w:style w:type="character" w:customStyle="1" w:styleId="94">
    <w:name w:val="time01"/>
    <w:basedOn w:val="22"/>
    <w:qFormat/>
    <w:uiPriority w:val="0"/>
    <w:rPr>
      <w:rFonts w:hint="eastAsia" w:ascii="微软雅黑" w:hAnsi="微软雅黑" w:eastAsia="微软雅黑" w:cs="微软雅黑"/>
      <w:color w:val="9D9D9D"/>
      <w:sz w:val="12"/>
      <w:szCs w:val="12"/>
    </w:rPr>
  </w:style>
  <w:style w:type="paragraph" w:customStyle="1" w:styleId="95">
    <w:name w:val="TOC 标题3"/>
    <w:basedOn w:val="3"/>
    <w:next w:val="1"/>
    <w:unhideWhenUsed/>
    <w:qFormat/>
    <w:uiPriority w:val="39"/>
    <w:pPr>
      <w:keepLines/>
      <w:widowControl/>
      <w:autoSpaceDE/>
      <w:autoSpaceDN/>
      <w:adjustRightInd/>
      <w:spacing w:before="240" w:line="259" w:lineRule="auto"/>
      <w:ind w:firstLine="0"/>
      <w:jc w:val="left"/>
      <w:outlineLvl w:val="9"/>
    </w:pPr>
    <w:rPr>
      <w:rFonts w:ascii="等线 Light" w:hAnsi="等线 Light" w:eastAsia="等线 Light" w:cs="Times New Roman"/>
      <w:b w:val="0"/>
      <w:color w:val="2F5496"/>
      <w:kern w:val="0"/>
      <w:sz w:val="32"/>
      <w:szCs w:val="32"/>
    </w:rPr>
  </w:style>
  <w:style w:type="table" w:customStyle="1" w:styleId="96">
    <w:name w:val="网格型2"/>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
    <w:name w:val="网格型24111"/>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
    <w:name w:val="网格型121111"/>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
    <w:name w:val="网格型3"/>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
    <w:name w:val="网格型1211111"/>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1">
    <w:name w:val="标题 6 Char1"/>
    <w:basedOn w:val="22"/>
    <w:semiHidden/>
    <w:qFormat/>
    <w:uiPriority w:val="0"/>
    <w:rPr>
      <w:rFonts w:asciiTheme="majorHAnsi" w:hAnsiTheme="majorHAnsi" w:eastAsiaTheme="majorEastAsia" w:cstheme="majorBidi"/>
      <w:b/>
      <w:bCs/>
      <w:kern w:val="2"/>
      <w:sz w:val="24"/>
      <w:szCs w:val="24"/>
    </w:rPr>
  </w:style>
  <w:style w:type="character" w:customStyle="1" w:styleId="102">
    <w:name w:val="标题 Char1"/>
    <w:basedOn w:val="22"/>
    <w:qFormat/>
    <w:uiPriority w:val="0"/>
    <w:rPr>
      <w:rFonts w:asciiTheme="majorHAnsi" w:hAnsiTheme="majorHAnsi" w:cstheme="majorBidi"/>
      <w:b/>
      <w:bCs/>
      <w:kern w:val="2"/>
      <w:sz w:val="32"/>
      <w:szCs w:val="32"/>
    </w:rPr>
  </w:style>
  <w:style w:type="paragraph" w:customStyle="1" w:styleId="103">
    <w:name w:val="正文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4">
    <w:name w:val="正文文本缩进 New"/>
    <w:basedOn w:val="103"/>
    <w:qFormat/>
    <w:uiPriority w:val="0"/>
    <w:pPr>
      <w:ind w:firstLine="640" w:firstLineChars="200"/>
    </w:pPr>
    <w:rPr>
      <w:rFonts w:ascii="宋体"/>
      <w:sz w:val="32"/>
      <w:szCs w:val="32"/>
    </w:rPr>
  </w:style>
  <w:style w:type="paragraph" w:customStyle="1" w:styleId="105">
    <w:name w:val="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character" w:customStyle="1" w:styleId="106">
    <w:name w:val="正文文本 Char"/>
    <w:basedOn w:val="22"/>
    <w:link w:val="2"/>
    <w:semiHidden/>
    <w:qFormat/>
    <w:uiPriority w:val="99"/>
    <w:rPr>
      <w:rFonts w:asciiTheme="minorHAnsi" w:hAnsiTheme="minorHAnsi" w:eastAsiaTheme="minorEastAsia" w:cstheme="minorBidi"/>
      <w:kern w:val="2"/>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642</Words>
  <Characters>3662</Characters>
  <Lines>30</Lines>
  <Paragraphs>8</Paragraphs>
  <TotalTime>0</TotalTime>
  <ScaleCrop>false</ScaleCrop>
  <LinksUpToDate>false</LinksUpToDate>
  <CharactersWithSpaces>4296</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2020-02-15T20:17:00Z</dcterms:created>
  <dc:creator>Wu King</dc:creator>
  <cp:lastModifiedBy>user</cp:lastModifiedBy>
  <cp:lastPrinted>2022-01-09T01:30:00Z</cp:lastPrinted>
  <dcterms:modified xsi:type="dcterms:W3CDTF">2023-11-22T16:25:40Z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EAFF68B91130466681B464F7773603FD</vt:lpwstr>
  </property>
</Properties>
</file>